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Theme="minorEastAsia" w:hAnsiTheme="minorEastAsia" w:eastAsiaTheme="minorEastAsia"/>
          <w:b/>
          <w:bCs/>
          <w:kern w:val="0"/>
          <w:sz w:val="28"/>
          <w:szCs w:val="28"/>
          <w:lang w:eastAsia="zh-CN"/>
        </w:rPr>
      </w:pPr>
      <w:r>
        <w:rPr>
          <w:rFonts w:hint="eastAsia" w:asciiTheme="minorEastAsia" w:hAnsiTheme="minorEastAsia" w:eastAsiaTheme="minorEastAsia"/>
          <w:b/>
          <w:bCs/>
          <w:kern w:val="0"/>
          <w:sz w:val="28"/>
          <w:szCs w:val="28"/>
          <w:lang w:eastAsia="zh-CN"/>
        </w:rPr>
        <w:t>待结项一览表</w:t>
      </w:r>
    </w:p>
    <w:p>
      <w:pPr>
        <w:widowControl/>
        <w:jc w:val="left"/>
        <w:rPr>
          <w:rFonts w:hint="eastAsia" w:asciiTheme="minorEastAsia" w:hAnsiTheme="minorEastAsia" w:eastAsiaTheme="minorEastAsia"/>
          <w:kern w:val="0"/>
          <w:szCs w:val="21"/>
          <w:lang w:eastAsia="zh-CN"/>
        </w:rPr>
      </w:pP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lang w:eastAsia="zh-CN"/>
        </w:rPr>
        <w:t>）青年项目</w:t>
      </w:r>
    </w:p>
    <w:tbl>
      <w:tblPr>
        <w:tblStyle w:val="2"/>
        <w:tblW w:w="48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3007"/>
        <w:gridCol w:w="1253"/>
        <w:gridCol w:w="132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81" w:type="pct"/>
            <w:shd w:val="clear" w:color="auto" w:fill="auto"/>
            <w:vAlign w:val="center"/>
          </w:tcPr>
          <w:p>
            <w:pPr>
              <w:widowControl/>
              <w:jc w:val="center"/>
              <w:rPr>
                <w:rFonts w:asciiTheme="minorEastAsia" w:hAnsiTheme="minorEastAsia" w:eastAsiaTheme="minorEastAsia"/>
                <w:kern w:val="0"/>
                <w:szCs w:val="21"/>
              </w:rPr>
            </w:pPr>
            <w:r>
              <w:rPr>
                <w:rFonts w:asciiTheme="minorEastAsia" w:hAnsiTheme="minorEastAsia" w:eastAsiaTheme="minorEastAsia"/>
                <w:kern w:val="0"/>
                <w:szCs w:val="21"/>
              </w:rPr>
              <w:t>负责人</w:t>
            </w:r>
          </w:p>
        </w:tc>
        <w:tc>
          <w:tcPr>
            <w:tcW w:w="1804" w:type="pct"/>
            <w:shd w:val="clear" w:color="auto" w:fill="auto"/>
            <w:vAlign w:val="center"/>
          </w:tcPr>
          <w:p>
            <w:pPr>
              <w:widowControl/>
              <w:jc w:val="center"/>
              <w:rPr>
                <w:rFonts w:asciiTheme="minorEastAsia" w:hAnsiTheme="minorEastAsia" w:eastAsiaTheme="minorEastAsia"/>
                <w:kern w:val="0"/>
                <w:szCs w:val="21"/>
              </w:rPr>
            </w:pPr>
            <w:r>
              <w:rPr>
                <w:rFonts w:asciiTheme="minorEastAsia" w:hAnsiTheme="minorEastAsia" w:eastAsiaTheme="minorEastAsia"/>
                <w:kern w:val="0"/>
                <w:szCs w:val="21"/>
              </w:rPr>
              <w:t>项目名称</w:t>
            </w:r>
          </w:p>
        </w:tc>
        <w:tc>
          <w:tcPr>
            <w:tcW w:w="751" w:type="pct"/>
            <w:shd w:val="clear" w:color="auto" w:fill="auto"/>
            <w:vAlign w:val="center"/>
          </w:tcPr>
          <w:p>
            <w:pPr>
              <w:widowControl/>
              <w:jc w:val="center"/>
              <w:rPr>
                <w:rFonts w:asciiTheme="minorEastAsia" w:hAnsiTheme="minorEastAsia" w:eastAsiaTheme="minorEastAsia"/>
                <w:kern w:val="0"/>
                <w:szCs w:val="21"/>
              </w:rPr>
            </w:pPr>
            <w:r>
              <w:rPr>
                <w:rFonts w:asciiTheme="minorEastAsia" w:hAnsiTheme="minorEastAsia" w:eastAsiaTheme="minorEastAsia"/>
                <w:kern w:val="0"/>
                <w:szCs w:val="21"/>
              </w:rPr>
              <w:t>所在部门</w:t>
            </w:r>
          </w:p>
        </w:tc>
        <w:tc>
          <w:tcPr>
            <w:tcW w:w="791" w:type="pct"/>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立项编号</w:t>
            </w:r>
          </w:p>
        </w:tc>
        <w:tc>
          <w:tcPr>
            <w:tcW w:w="1070" w:type="pct"/>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项目期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韩彬</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基于界面调控的SiCw-石墨烯强韧化WC基自润滑刀具研究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智能制造与控制工程学院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EGD23QD01</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刘诺</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改性纳米零价铁材料分级逐步回收污泥中的铜、铅机制研究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资源与环境工程学院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EGD23QD02</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王鑫</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空间维度热退火调控钙钛矿太阳能电池的结晶动力学与性能研究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能源与材料学院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EGD23QD03</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罗吉</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“双碳”目标下绿色金融市场风险优化路径研究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经济与管理学院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EGD23QD04</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张贤</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基于音乐可视化缓解疲劳的神经机制探究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eastAsia="zh-CN" w:bidi="ar"/>
              </w:rPr>
            </w:pPr>
            <w:r>
              <w:rPr>
                <w:rFonts w:hint="eastAsia" w:ascii="等线" w:hAnsi="等线" w:eastAsia="等线" w:cs="等线"/>
                <w:color w:val="000000"/>
                <w:kern w:val="0"/>
                <w:sz w:val="22"/>
                <w:lang w:bidi="ar"/>
              </w:rPr>
              <w:t>应用艺术设计学院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EGD23QD05</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8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李霞</w:t>
            </w:r>
          </w:p>
        </w:tc>
        <w:tc>
          <w:tcPr>
            <w:tcW w:w="1804"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“双师型”教师职业特质的模型建构研究</w:t>
            </w:r>
          </w:p>
        </w:tc>
        <w:tc>
          <w:tcPr>
            <w:tcW w:w="751" w:type="pct"/>
            <w:shd w:val="clear" w:color="auto" w:fill="auto"/>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职业技术教师教育学院</w:t>
            </w:r>
          </w:p>
        </w:tc>
        <w:tc>
          <w:tcPr>
            <w:tcW w:w="791"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EGD23QD06</w:t>
            </w:r>
          </w:p>
        </w:tc>
        <w:tc>
          <w:tcPr>
            <w:tcW w:w="1070" w:type="pct"/>
            <w:shd w:val="clear" w:color="auto" w:fill="auto"/>
            <w:noWrap/>
            <w:vAlign w:val="center"/>
          </w:tcPr>
          <w:p>
            <w:pPr>
              <w:widowControl/>
              <w:jc w:val="center"/>
              <w:textAlignment w:val="center"/>
              <w:rPr>
                <w:rFonts w:hint="eastAsia" w:ascii="等线" w:hAnsi="等线" w:eastAsia="等线" w:cs="等线"/>
                <w:color w:val="000000"/>
                <w:kern w:val="0"/>
                <w:sz w:val="22"/>
                <w:lang w:bidi="ar"/>
              </w:rPr>
            </w:pPr>
            <w:r>
              <w:rPr>
                <w:rFonts w:hint="eastAsia" w:ascii="等线" w:hAnsi="等线" w:eastAsia="等线" w:cs="等线"/>
                <w:color w:val="000000"/>
                <w:kern w:val="0"/>
                <w:sz w:val="22"/>
                <w:lang w:bidi="ar"/>
              </w:rPr>
              <w:t>2023.1.1-2023.11.30</w:t>
            </w:r>
          </w:p>
        </w:tc>
      </w:tr>
    </w:tbl>
    <w:p/>
    <w:p>
      <w:pPr>
        <w:numPr>
          <w:ilvl w:val="0"/>
          <w:numId w:val="1"/>
        </w:numPr>
        <w:rPr>
          <w:rFonts w:hint="eastAsia"/>
          <w:lang w:eastAsia="zh-CN"/>
        </w:rPr>
      </w:pPr>
      <w:r>
        <w:rPr>
          <w:rFonts w:hint="eastAsia"/>
          <w:lang w:eastAsia="zh-CN"/>
        </w:rPr>
        <w:t>研究生副导师</w:t>
      </w:r>
    </w:p>
    <w:tbl>
      <w:tblPr>
        <w:tblStyle w:val="2"/>
        <w:tblW w:w="49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3165"/>
        <w:gridCol w:w="1275"/>
        <w:gridCol w:w="1395"/>
        <w:gridCol w:w="1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34" w:type="pct"/>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负责人</w:t>
            </w:r>
          </w:p>
        </w:tc>
        <w:tc>
          <w:tcPr>
            <w:tcW w:w="1892" w:type="pct"/>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项目名称</w:t>
            </w:r>
          </w:p>
        </w:tc>
        <w:tc>
          <w:tcPr>
            <w:tcW w:w="762" w:type="pct"/>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所在部门</w:t>
            </w:r>
          </w:p>
        </w:tc>
        <w:tc>
          <w:tcPr>
            <w:tcW w:w="833" w:type="pct"/>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立项编号</w:t>
            </w:r>
          </w:p>
        </w:tc>
        <w:tc>
          <w:tcPr>
            <w:tcW w:w="977" w:type="pct"/>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项目期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杨威</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设计模型工艺性缺陷智能修复理论与方法研究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智能制造与控制工程学院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w:t>
            </w:r>
            <w:r>
              <w:rPr>
                <w:rFonts w:hint="eastAsia" w:ascii="Times New Roman" w:hAnsi="Times New Roman"/>
                <w:color w:val="000000"/>
                <w:kern w:val="0"/>
                <w:szCs w:val="21"/>
              </w:rPr>
              <w:t>3</w:t>
            </w:r>
            <w:r>
              <w:rPr>
                <w:rFonts w:ascii="Times New Roman" w:hAnsi="Times New Roman"/>
                <w:color w:val="000000"/>
                <w:kern w:val="0"/>
                <w:szCs w:val="21"/>
              </w:rPr>
              <w:t>DS01</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赵艳哲</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镍钛形状记忆合金零相变切削机理研究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智能制造与控制工程学院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w:t>
            </w:r>
            <w:r>
              <w:rPr>
                <w:rFonts w:hint="eastAsia" w:ascii="Times New Roman" w:hAnsi="Times New Roman"/>
                <w:color w:val="000000"/>
                <w:kern w:val="0"/>
                <w:szCs w:val="21"/>
              </w:rPr>
              <w:t>3</w:t>
            </w:r>
            <w:r>
              <w:rPr>
                <w:rFonts w:ascii="Times New Roman" w:hAnsi="Times New Roman"/>
                <w:color w:val="000000"/>
                <w:kern w:val="0"/>
                <w:szCs w:val="21"/>
              </w:rPr>
              <w:t>DS02</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潘芳煜</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数控设备精度研究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智能制造与控制工程学院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w:t>
            </w:r>
            <w:r>
              <w:rPr>
                <w:rFonts w:hint="eastAsia" w:ascii="Times New Roman" w:hAnsi="Times New Roman"/>
                <w:color w:val="000000"/>
                <w:kern w:val="0"/>
                <w:szCs w:val="21"/>
              </w:rPr>
              <w:t>3</w:t>
            </w:r>
            <w:r>
              <w:rPr>
                <w:rFonts w:ascii="Times New Roman" w:hAnsi="Times New Roman"/>
                <w:color w:val="000000"/>
                <w:kern w:val="0"/>
                <w:szCs w:val="21"/>
              </w:rPr>
              <w:t>DS03</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俞晓晓</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光/热催化三相界面反应系统优化设计及其能量管理</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能源与材料学院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EGD23DS10</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朱大海</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 xml:space="preserve">低温等离子体耦合光热催化剂强化水体中的多氟和全氟化合物去除研究  </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能源与材料学院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EGD23DS11</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陈睿</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基于超临界CO</w:t>
            </w:r>
            <w:r>
              <w:rPr>
                <w:rFonts w:ascii="Times New Roman" w:hAnsi="Times New Roman"/>
                <w:color w:val="000000"/>
                <w:kern w:val="0"/>
                <w:szCs w:val="21"/>
              </w:rPr>
              <w:t>2布雷顿循环的新型光伏/光热联合发电系统能量匹配和调控方法研究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能源与材料学院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EGD23DS12</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郭丽和</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高储能、高导热多层梯度薄膜电容器性能研究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能源与材料学院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EGD23DS13</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高瑞玲</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新能源车载传感器的核心数据测量方法优化</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w:t>
            </w:r>
            <w:r>
              <w:rPr>
                <w:rFonts w:hint="eastAsia" w:ascii="Times New Roman" w:hAnsi="Times New Roman"/>
                <w:color w:val="000000"/>
                <w:kern w:val="0"/>
                <w:szCs w:val="21"/>
              </w:rPr>
              <w:t>3</w:t>
            </w:r>
            <w:r>
              <w:rPr>
                <w:rFonts w:ascii="Times New Roman" w:hAnsi="Times New Roman"/>
                <w:color w:val="000000"/>
                <w:kern w:val="0"/>
                <w:szCs w:val="21"/>
              </w:rPr>
              <w:t>DS0</w:t>
            </w:r>
            <w:r>
              <w:rPr>
                <w:rFonts w:hint="eastAsia" w:ascii="Times New Roman" w:hAnsi="Times New Roman"/>
                <w:color w:val="000000"/>
                <w:kern w:val="0"/>
                <w:szCs w:val="21"/>
              </w:rPr>
              <w:t>4</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王家辉</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融合群体信息的图神经网络表达能力优化方法研究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EGD23DS05</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于晓璞</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基于索引调制的物联网物理层传输技术研究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EGD23DS06</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司小朦</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基于子空间的低质量多视角数据聚类方法的关键技术研究及其应用</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EGD23DS07</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534" w:type="pct"/>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闫之焕</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多模态人物地知识图谱构建技术研究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EGD23DS08</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noWrap/>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牛森</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边缘服务协同优化与推荐技术研究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计算机与信息工程学院</w:t>
            </w:r>
          </w:p>
        </w:tc>
        <w:tc>
          <w:tcPr>
            <w:tcW w:w="139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EGD23DS09</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shd w:val="clear" w:color="auto" w:fill="auto"/>
            <w:noWrap/>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李翠翠</w:t>
            </w:r>
          </w:p>
        </w:tc>
        <w:tc>
          <w:tcPr>
            <w:tcW w:w="3165" w:type="dxa"/>
            <w:shd w:val="clear" w:color="auto" w:fill="auto"/>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中职学校“双师型”教师教学能力评价研究</w:t>
            </w:r>
          </w:p>
        </w:tc>
        <w:tc>
          <w:tcPr>
            <w:tcW w:w="1275" w:type="dxa"/>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职业技术教师教育学院</w:t>
            </w:r>
          </w:p>
        </w:tc>
        <w:tc>
          <w:tcPr>
            <w:tcW w:w="1395" w:type="dxa"/>
            <w:shd w:val="clear" w:color="auto" w:fill="auto"/>
            <w:noWrap/>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EGD23DS21</w:t>
            </w:r>
          </w:p>
        </w:tc>
        <w:tc>
          <w:tcPr>
            <w:tcW w:w="1635" w:type="dxa"/>
            <w:shd w:val="clear" w:color="auto" w:fill="auto"/>
            <w:noWrap/>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李丰</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多中心治理理论视角下职业院校教师教学创新团队建设研究</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职业技术教师教育学院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EGD23DS22</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李静</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 xml:space="preserve">职普融通视域下长三角地区乡村中学引入职业教育的路径探究  </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职业技术教师教育学院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EGD23DS23</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俞佳立</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 xml:space="preserve">金融集聚与城市高质量发展研究 </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经济与管理学院</w:t>
            </w:r>
          </w:p>
        </w:tc>
        <w:tc>
          <w:tcPr>
            <w:tcW w:w="139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EGD23DS14</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刘宇</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数字贸易格局演进、发展趋势及应对</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经济与管理学院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EGD23DS15</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李奇璘</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数字化转型重塑我国服务贸易影响力</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经济与管理学院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EGD23DS16</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田金梅</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基于利益相关者的绿色会展协同推进机制研究</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经济与管理学院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EGD23DS17</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尉芳芳</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低碳转型视角下钢铁闭环供应链激励机制研究</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经济与管理学院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EGD23DS18</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张辉</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印度主流媒体“一带一路”报道的话语研究</w:t>
            </w:r>
          </w:p>
        </w:tc>
        <w:tc>
          <w:tcPr>
            <w:tcW w:w="127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外语与文化传播学院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EGD23DS19</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534" w:type="pct"/>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徐鹏</w:t>
            </w:r>
          </w:p>
        </w:tc>
        <w:tc>
          <w:tcPr>
            <w:tcW w:w="3165" w:type="dxa"/>
            <w:vAlign w:val="center"/>
          </w:tcPr>
          <w:p>
            <w:pPr>
              <w:widowControl/>
              <w:jc w:val="center"/>
              <w:rPr>
                <w:rFonts w:ascii="Times New Roman" w:hAnsi="Times New Roman"/>
                <w:color w:val="000000"/>
                <w:kern w:val="0"/>
                <w:szCs w:val="21"/>
              </w:rPr>
            </w:pPr>
            <w:r>
              <w:rPr>
                <w:rFonts w:hint="eastAsia" w:ascii="Times New Roman" w:hAnsi="Times New Roman"/>
                <w:color w:val="000000"/>
                <w:kern w:val="0"/>
                <w:szCs w:val="21"/>
              </w:rPr>
              <w:t>面向共同富裕的智慧社区模块化产品设计体系研究</w:t>
            </w:r>
          </w:p>
        </w:tc>
        <w:tc>
          <w:tcPr>
            <w:tcW w:w="127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应用艺术设计学院</w:t>
            </w:r>
          </w:p>
        </w:tc>
        <w:tc>
          <w:tcPr>
            <w:tcW w:w="1395" w:type="dxa"/>
            <w:vAlign w:val="top"/>
          </w:tcPr>
          <w:p>
            <w:pPr>
              <w:widowControl/>
              <w:jc w:val="center"/>
              <w:rPr>
                <w:rFonts w:ascii="Times New Roman" w:hAnsi="Times New Roman"/>
                <w:color w:val="000000"/>
                <w:kern w:val="0"/>
                <w:szCs w:val="21"/>
              </w:rPr>
            </w:pPr>
            <w:r>
              <w:rPr>
                <w:rFonts w:ascii="Times New Roman" w:hAnsi="Times New Roman"/>
                <w:color w:val="000000"/>
                <w:kern w:val="0"/>
                <w:szCs w:val="21"/>
              </w:rPr>
              <w:t>EGD23DS20</w:t>
            </w:r>
          </w:p>
        </w:tc>
        <w:tc>
          <w:tcPr>
            <w:tcW w:w="1635" w:type="dxa"/>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2023.1.1-2023.11.30</w:t>
            </w:r>
          </w:p>
        </w:tc>
      </w:tr>
    </w:tbl>
    <w:p>
      <w:pPr>
        <w:numPr>
          <w:ilvl w:val="0"/>
          <w:numId w:val="0"/>
        </w:numPr>
        <w:ind w:leftChars="0"/>
        <w:rPr>
          <w:rFonts w:hint="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06E63"/>
    <w:multiLevelType w:val="singleLevel"/>
    <w:tmpl w:val="24406E63"/>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iYjM1ODQwMWQxNWNlNGE1MWMxNWFiYTkzNWY0YzEifQ=="/>
  </w:docVars>
  <w:rsids>
    <w:rsidRoot w:val="00000000"/>
    <w:rsid w:val="1A7F581E"/>
    <w:rsid w:val="2FC51ABF"/>
    <w:rsid w:val="3FD57736"/>
    <w:rsid w:val="4EC95307"/>
    <w:rsid w:val="5B904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color w:val="000000"/>
      <w:sz w:val="24"/>
      <w:szCs w:val="24"/>
      <w:u w:val="none"/>
    </w:rPr>
  </w:style>
  <w:style w:type="character" w:customStyle="1" w:styleId="5">
    <w:name w:val="font21"/>
    <w:basedOn w:val="3"/>
    <w:qFormat/>
    <w:uiPriority w:val="0"/>
    <w:rPr>
      <w:rFonts w:hint="default" w:ascii="Times New Roman" w:hAnsi="Times New Roman" w:cs="Times New Roman"/>
      <w:color w:val="000000"/>
      <w:sz w:val="24"/>
      <w:szCs w:val="24"/>
      <w:u w:val="none"/>
    </w:rPr>
  </w:style>
  <w:style w:type="character" w:customStyle="1" w:styleId="6">
    <w:name w:val="font01"/>
    <w:basedOn w:val="3"/>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2022-11-30T02:52:00Z</dcterms:created>
  <dc:creator>lenovo</dc:creator>
  <cp:lastModifiedBy>Lisa</cp:lastModifiedBy>
  <dcterms:modified xsi:type="dcterms:W3CDTF">2023-11-06T02:30:05Z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FC79587FB4DE4858AC3B66275A617525</vt:lpwstr>
  </property>
</Properties>
</file>