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8" w:lineRule="exact"/>
        <w:jc w:val="left"/>
        <w:rPr>
          <w:rFonts w:cs="宋体" w:asciiTheme="minorEastAsia" w:hAnsiTheme="minorEastAsia"/>
          <w:b/>
          <w:kern w:val="0"/>
          <w:sz w:val="24"/>
          <w:szCs w:val="24"/>
        </w:rPr>
      </w:pPr>
      <w:r>
        <w:rPr>
          <w:rFonts w:hint="eastAsia" w:cs="宋体" w:asciiTheme="minorEastAsia" w:hAnsiTheme="minorEastAsia"/>
          <w:b/>
          <w:kern w:val="0"/>
          <w:sz w:val="24"/>
          <w:szCs w:val="24"/>
        </w:rPr>
        <w:t>附件2：</w:t>
      </w:r>
    </w:p>
    <w:p>
      <w:pPr>
        <w:spacing w:line="588" w:lineRule="exact"/>
        <w:ind w:firstLine="561" w:firstLineChars="200"/>
        <w:jc w:val="center"/>
        <w:rPr>
          <w:rFonts w:ascii="华文细黑" w:hAnsi="华文细黑" w:eastAsia="华文细黑" w:cs="宋体"/>
          <w:b/>
          <w:kern w:val="0"/>
          <w:sz w:val="28"/>
          <w:szCs w:val="28"/>
        </w:rPr>
      </w:pPr>
      <w:r>
        <w:rPr>
          <w:rFonts w:hint="eastAsia" w:ascii="华文细黑" w:hAnsi="华文细黑" w:eastAsia="华文细黑" w:cs="宋体"/>
          <w:b/>
          <w:kern w:val="0"/>
          <w:sz w:val="28"/>
          <w:szCs w:val="28"/>
        </w:rPr>
        <w:t>上海第二工业大学学科竞赛级别认定</w:t>
      </w:r>
    </w:p>
    <w:p>
      <w:pPr>
        <w:spacing w:line="588" w:lineRule="exact"/>
        <w:ind w:firstLine="480" w:firstLineChars="200"/>
        <w:jc w:val="center"/>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（讨论稿）</w:t>
      </w:r>
    </w:p>
    <w:p>
      <w:pPr>
        <w:spacing w:line="588" w:lineRule="exact"/>
        <w:ind w:firstLine="480" w:firstLineChars="200"/>
        <w:jc w:val="center"/>
        <w:rPr>
          <w:rFonts w:cs="宋体" w:asciiTheme="majorEastAsia" w:hAnsiTheme="majorEastAsia" w:eastAsiaTheme="majorEastAsia"/>
          <w:kern w:val="0"/>
          <w:sz w:val="24"/>
          <w:szCs w:val="24"/>
        </w:rPr>
      </w:pPr>
    </w:p>
    <w:p>
      <w:pPr>
        <w:spacing w:line="440" w:lineRule="exact"/>
        <w:ind w:firstLine="480" w:firstLineChars="200"/>
        <w:rPr>
          <w:rFonts w:cs="宋体" w:asciiTheme="majorEastAsia" w:hAnsiTheme="majorEastAsia" w:eastAsiaTheme="majorEastAsia"/>
          <w:kern w:val="0"/>
          <w:sz w:val="24"/>
          <w:szCs w:val="24"/>
        </w:rPr>
      </w:pPr>
      <w:r>
        <w:rPr>
          <w:rFonts w:cs="宋体" w:asciiTheme="majorEastAsia" w:hAnsiTheme="majorEastAsia" w:eastAsiaTheme="majorEastAsia"/>
          <w:kern w:val="0"/>
          <w:sz w:val="24"/>
          <w:szCs w:val="24"/>
        </w:rPr>
        <w:t>根据学科竞赛的组织机构、竞赛层次、社会影响和获奖难度等方面综合考虑，将学科竞赛分为</w:t>
      </w:r>
      <w:r>
        <w:rPr>
          <w:rFonts w:hint="eastAsia" w:cs="宋体" w:asciiTheme="majorEastAsia" w:hAnsiTheme="majorEastAsia" w:eastAsiaTheme="majorEastAsia"/>
          <w:kern w:val="0"/>
          <w:sz w:val="24"/>
          <w:szCs w:val="24"/>
        </w:rPr>
        <w:t>四</w:t>
      </w:r>
      <w:r>
        <w:rPr>
          <w:rFonts w:cs="宋体" w:asciiTheme="majorEastAsia" w:hAnsiTheme="majorEastAsia" w:eastAsiaTheme="majorEastAsia"/>
          <w:kern w:val="0"/>
          <w:sz w:val="24"/>
          <w:szCs w:val="24"/>
        </w:rPr>
        <w:t>类：</w:t>
      </w:r>
    </w:p>
    <w:p>
      <w:pPr>
        <w:spacing w:line="440" w:lineRule="exact"/>
        <w:ind w:firstLine="480" w:firstLineChars="200"/>
        <w:rPr>
          <w:rFonts w:cs="宋体" w:asciiTheme="majorEastAsia" w:hAnsiTheme="majorEastAsia" w:eastAsiaTheme="majorEastAsia"/>
          <w:kern w:val="0"/>
          <w:sz w:val="24"/>
          <w:szCs w:val="24"/>
        </w:rPr>
      </w:pPr>
      <w:r>
        <w:rPr>
          <w:rFonts w:cs="宋体" w:asciiTheme="majorEastAsia" w:hAnsiTheme="majorEastAsia" w:eastAsiaTheme="majorEastAsia"/>
          <w:kern w:val="0"/>
          <w:sz w:val="24"/>
          <w:szCs w:val="24"/>
        </w:rPr>
        <w:t>A类：</w:t>
      </w:r>
      <w:r>
        <w:rPr>
          <w:rFonts w:hint="eastAsia" w:cs="宋体" w:asciiTheme="majorEastAsia" w:hAnsiTheme="majorEastAsia" w:eastAsiaTheme="majorEastAsia"/>
          <w:kern w:val="0"/>
          <w:sz w:val="24"/>
          <w:szCs w:val="24"/>
        </w:rPr>
        <w:t>国际性学科竞赛与国家级重要大赛。国际性学科竞赛是指联合国教科文组织或其他国际学术团体组织的世界性学科竞赛；国家级重要大赛是指</w:t>
      </w:r>
      <w:r>
        <w:rPr>
          <w:rFonts w:cs="宋体" w:asciiTheme="majorEastAsia" w:hAnsiTheme="majorEastAsia" w:eastAsiaTheme="majorEastAsia"/>
          <w:kern w:val="0"/>
          <w:sz w:val="24"/>
          <w:szCs w:val="24"/>
        </w:rPr>
        <w:t>教育部主办、专家主导、获奖难度和社会影响</w:t>
      </w:r>
      <w:r>
        <w:rPr>
          <w:rFonts w:hint="eastAsia" w:cs="宋体" w:asciiTheme="majorEastAsia" w:hAnsiTheme="majorEastAsia" w:eastAsiaTheme="majorEastAsia"/>
          <w:kern w:val="0"/>
          <w:sz w:val="24"/>
          <w:szCs w:val="24"/>
        </w:rPr>
        <w:t>较</w:t>
      </w:r>
      <w:r>
        <w:rPr>
          <w:rFonts w:cs="宋体" w:asciiTheme="majorEastAsia" w:hAnsiTheme="majorEastAsia" w:eastAsiaTheme="majorEastAsia"/>
          <w:kern w:val="0"/>
          <w:sz w:val="24"/>
          <w:szCs w:val="24"/>
        </w:rPr>
        <w:t>大的全国性重要赛事</w:t>
      </w:r>
      <w:r>
        <w:rPr>
          <w:rFonts w:hint="eastAsia" w:cs="宋体" w:asciiTheme="majorEastAsia" w:hAnsiTheme="majorEastAsia" w:eastAsiaTheme="majorEastAsia"/>
          <w:kern w:val="0"/>
          <w:sz w:val="24"/>
          <w:szCs w:val="24"/>
        </w:rPr>
        <w:t>。其中前19项以纳入中国高等教育学会2017年《中国高校创新人才培养暨学科竞赛评估结果》的赛事为准。见附件3。</w:t>
      </w:r>
    </w:p>
    <w:p>
      <w:pPr>
        <w:spacing w:line="440" w:lineRule="exact"/>
        <w:ind w:firstLine="480" w:firstLineChars="200"/>
        <w:rPr>
          <w:rFonts w:cs="宋体" w:asciiTheme="majorEastAsia" w:hAnsiTheme="majorEastAsia" w:eastAsiaTheme="majorEastAsia"/>
          <w:kern w:val="0"/>
          <w:sz w:val="24"/>
          <w:szCs w:val="24"/>
        </w:rPr>
      </w:pPr>
      <w:r>
        <w:rPr>
          <w:rFonts w:cs="宋体" w:asciiTheme="majorEastAsia" w:hAnsiTheme="majorEastAsia" w:eastAsiaTheme="majorEastAsia"/>
          <w:kern w:val="0"/>
          <w:sz w:val="24"/>
          <w:szCs w:val="24"/>
        </w:rPr>
        <w:t>B类：</w:t>
      </w:r>
      <w:r>
        <w:rPr>
          <w:rFonts w:hint="eastAsia" w:cs="宋体" w:asciiTheme="majorEastAsia" w:hAnsiTheme="majorEastAsia" w:eastAsiaTheme="majorEastAsia"/>
          <w:kern w:val="0"/>
          <w:sz w:val="24"/>
          <w:szCs w:val="24"/>
        </w:rPr>
        <w:t>重大赛事。指上海高校分类评价指标（应用技术型）中涵盖</w:t>
      </w:r>
      <w:r>
        <w:rPr>
          <w:rFonts w:cs="宋体" w:asciiTheme="majorEastAsia" w:hAnsiTheme="majorEastAsia" w:eastAsiaTheme="majorEastAsia"/>
          <w:kern w:val="0"/>
          <w:sz w:val="24"/>
          <w:szCs w:val="24"/>
        </w:rPr>
        <w:t>的</w:t>
      </w:r>
      <w:r>
        <w:rPr>
          <w:rFonts w:hint="eastAsia" w:cs="宋体" w:asciiTheme="majorEastAsia" w:hAnsiTheme="majorEastAsia" w:eastAsiaTheme="majorEastAsia"/>
          <w:kern w:val="0"/>
          <w:sz w:val="24"/>
          <w:szCs w:val="24"/>
        </w:rPr>
        <w:t>具有一定影响力的</w:t>
      </w:r>
      <w:r>
        <w:rPr>
          <w:rFonts w:cs="宋体" w:asciiTheme="majorEastAsia" w:hAnsiTheme="majorEastAsia" w:eastAsiaTheme="majorEastAsia"/>
          <w:kern w:val="0"/>
          <w:sz w:val="24"/>
          <w:szCs w:val="24"/>
        </w:rPr>
        <w:t>赛事</w:t>
      </w:r>
      <w:r>
        <w:rPr>
          <w:rFonts w:hint="eastAsia" w:cs="宋体" w:asciiTheme="majorEastAsia" w:hAnsiTheme="majorEastAsia" w:eastAsiaTheme="majorEastAsia"/>
          <w:kern w:val="0"/>
          <w:sz w:val="24"/>
          <w:szCs w:val="24"/>
        </w:rPr>
        <w:t>（未包含A类）及教育教学指导委员会主办的</w:t>
      </w:r>
      <w:r>
        <w:rPr>
          <w:rFonts w:cs="宋体" w:asciiTheme="majorEastAsia" w:hAnsiTheme="majorEastAsia" w:eastAsiaTheme="majorEastAsia"/>
          <w:kern w:val="0"/>
          <w:sz w:val="24"/>
          <w:szCs w:val="24"/>
        </w:rPr>
        <w:t>全国性赛事</w:t>
      </w:r>
      <w:r>
        <w:rPr>
          <w:rFonts w:hint="eastAsia" w:cs="宋体" w:asciiTheme="majorEastAsia" w:hAnsiTheme="majorEastAsia" w:eastAsiaTheme="majorEastAsia"/>
          <w:kern w:val="0"/>
          <w:sz w:val="24"/>
          <w:szCs w:val="24"/>
        </w:rPr>
        <w:t>。A类竞赛分赛区的决赛。见附件4。</w:t>
      </w:r>
    </w:p>
    <w:p>
      <w:pPr>
        <w:spacing w:line="440" w:lineRule="exact"/>
        <w:ind w:firstLine="480" w:firstLineChars="200"/>
        <w:rPr>
          <w:rFonts w:cs="宋体" w:asciiTheme="majorEastAsia" w:hAnsiTheme="majorEastAsia" w:eastAsiaTheme="majorEastAsia"/>
          <w:kern w:val="0"/>
          <w:sz w:val="24"/>
          <w:szCs w:val="24"/>
        </w:rPr>
      </w:pPr>
      <w:r>
        <w:rPr>
          <w:rFonts w:cs="宋体" w:asciiTheme="majorEastAsia" w:hAnsiTheme="majorEastAsia" w:eastAsiaTheme="majorEastAsia"/>
          <w:kern w:val="0"/>
          <w:sz w:val="24"/>
          <w:szCs w:val="24"/>
        </w:rPr>
        <w:t>C类：</w:t>
      </w:r>
      <w:r>
        <w:rPr>
          <w:rFonts w:hint="eastAsia" w:cs="宋体" w:asciiTheme="majorEastAsia" w:hAnsiTheme="majorEastAsia" w:eastAsiaTheme="majorEastAsia"/>
          <w:kern w:val="0"/>
          <w:sz w:val="24"/>
          <w:szCs w:val="24"/>
        </w:rPr>
        <w:t>一般性全国竞赛及上海市教委举办的赛事。</w:t>
      </w:r>
      <w:r>
        <w:rPr>
          <w:rFonts w:cs="宋体" w:asciiTheme="majorEastAsia" w:hAnsiTheme="majorEastAsia" w:eastAsiaTheme="majorEastAsia"/>
          <w:kern w:val="0"/>
          <w:sz w:val="24"/>
          <w:szCs w:val="24"/>
        </w:rPr>
        <w:t>指</w:t>
      </w:r>
      <w:r>
        <w:rPr>
          <w:rFonts w:hint="eastAsia" w:cs="宋体" w:asciiTheme="majorEastAsia" w:hAnsiTheme="majorEastAsia" w:eastAsiaTheme="majorEastAsia"/>
          <w:kern w:val="0"/>
          <w:sz w:val="24"/>
          <w:szCs w:val="24"/>
        </w:rPr>
        <w:t>全国行业协会主办及上海市教委支持举办的各类学科（技能）竞赛；B类竞赛分赛区的决赛。见附件5。</w:t>
      </w:r>
    </w:p>
    <w:p>
      <w:pPr>
        <w:spacing w:line="440" w:lineRule="exact"/>
        <w:ind w:firstLine="480" w:firstLineChars="200"/>
        <w:rPr>
          <w:rFonts w:cs="宋体" w:asciiTheme="majorEastAsia" w:hAnsiTheme="majorEastAsia" w:eastAsiaTheme="majorEastAsia"/>
          <w:kern w:val="0"/>
          <w:sz w:val="24"/>
          <w:szCs w:val="24"/>
        </w:rPr>
      </w:pPr>
      <w:r>
        <w:rPr>
          <w:rFonts w:cs="宋体" w:asciiTheme="majorEastAsia" w:hAnsiTheme="majorEastAsia" w:eastAsiaTheme="majorEastAsia"/>
          <w:kern w:val="0"/>
          <w:sz w:val="24"/>
          <w:szCs w:val="24"/>
        </w:rPr>
        <w:t>D类：</w:t>
      </w:r>
      <w:r>
        <w:rPr>
          <w:rFonts w:hint="eastAsia" w:cs="宋体" w:asciiTheme="majorEastAsia" w:hAnsiTheme="majorEastAsia" w:eastAsiaTheme="majorEastAsia"/>
          <w:kern w:val="0"/>
          <w:sz w:val="24"/>
          <w:szCs w:val="24"/>
        </w:rPr>
        <w:t>一般性省部级大赛。指</w:t>
      </w:r>
      <w:r>
        <w:rPr>
          <w:rFonts w:cs="宋体" w:asciiTheme="majorEastAsia" w:hAnsiTheme="majorEastAsia" w:eastAsiaTheme="majorEastAsia"/>
          <w:kern w:val="0"/>
          <w:sz w:val="24"/>
          <w:szCs w:val="24"/>
        </w:rPr>
        <w:t>省级政府有关部门或省级学术团体组织的全省性或跨省区的</w:t>
      </w:r>
      <w:r>
        <w:rPr>
          <w:rFonts w:hint="eastAsia" w:cs="宋体" w:asciiTheme="majorEastAsia" w:hAnsiTheme="majorEastAsia" w:eastAsiaTheme="majorEastAsia"/>
          <w:kern w:val="0"/>
          <w:sz w:val="24"/>
          <w:szCs w:val="24"/>
        </w:rPr>
        <w:t>各类学科（技能）竞赛；C类竞赛分赛区的决赛。见附件6。</w:t>
      </w:r>
    </w:p>
    <w:p>
      <w:pPr>
        <w:spacing w:line="440" w:lineRule="exact"/>
        <w:rPr>
          <w:rFonts w:cs="宋体" w:asciiTheme="majorEastAsia" w:hAnsiTheme="majorEastAsia" w:eastAsiaTheme="majorEastAsia"/>
          <w:kern w:val="0"/>
          <w:sz w:val="24"/>
          <w:szCs w:val="24"/>
        </w:rPr>
      </w:pPr>
    </w:p>
    <w:p>
      <w:pPr>
        <w:spacing w:line="44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注：</w:t>
      </w:r>
    </w:p>
    <w:p>
      <w:pPr>
        <w:spacing w:line="44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1、附件3、4、5、6涵盖2016-2018年我校获奖竞赛名称。</w:t>
      </w:r>
    </w:p>
    <w:p>
      <w:pPr>
        <w:spacing w:line="440" w:lineRule="exact"/>
        <w:rPr>
          <w:rFonts w:cs="宋体" w:asciiTheme="majorEastAsia" w:hAnsiTheme="majorEastAsia" w:eastAsiaTheme="majorEastAsia"/>
          <w:kern w:val="0"/>
          <w:sz w:val="24"/>
          <w:szCs w:val="24"/>
        </w:rPr>
      </w:pPr>
      <w:r>
        <w:rPr>
          <w:rFonts w:hint="eastAsia" w:cs="宋体" w:asciiTheme="majorEastAsia" w:hAnsiTheme="majorEastAsia" w:eastAsiaTheme="majorEastAsia"/>
          <w:kern w:val="0"/>
          <w:sz w:val="24"/>
          <w:szCs w:val="24"/>
        </w:rPr>
        <w:t>2、后续获奖且未包含在附件中的竞赛，教务处每年组织一次评审对其进行定级。</w:t>
      </w:r>
    </w:p>
    <w:p>
      <w:pPr>
        <w:spacing w:line="588" w:lineRule="exact"/>
        <w:rPr>
          <w:rFonts w:ascii="仿宋_GB2312" w:hAnsi="宋体" w:eastAsia="仿宋_GB2312" w:cs="宋体"/>
          <w:kern w:val="0"/>
          <w:sz w:val="32"/>
          <w:szCs w:val="32"/>
        </w:rPr>
      </w:pPr>
    </w:p>
    <w:p>
      <w:pPr>
        <w:spacing w:line="588" w:lineRule="exact"/>
        <w:rPr>
          <w:rFonts w:ascii="仿宋_GB2312" w:hAnsi="宋体" w:eastAsia="仿宋_GB2312" w:cs="宋体"/>
          <w:kern w:val="0"/>
          <w:sz w:val="32"/>
          <w:szCs w:val="32"/>
        </w:rPr>
      </w:pPr>
    </w:p>
    <w:p>
      <w:pPr>
        <w:spacing w:line="588" w:lineRule="exact"/>
        <w:rPr>
          <w:rFonts w:ascii="仿宋_GB2312" w:hAnsi="宋体" w:eastAsia="仿宋_GB2312" w:cs="宋体"/>
          <w:kern w:val="0"/>
          <w:sz w:val="32"/>
          <w:szCs w:val="32"/>
        </w:rPr>
      </w:pPr>
    </w:p>
    <w:p>
      <w:pPr>
        <w:spacing w:line="588" w:lineRule="exact"/>
        <w:rPr>
          <w:rFonts w:ascii="仿宋_GB2312" w:hAnsi="宋体" w:eastAsia="仿宋_GB2312" w:cs="宋体"/>
          <w:kern w:val="0"/>
          <w:sz w:val="32"/>
          <w:szCs w:val="32"/>
        </w:rPr>
      </w:pPr>
    </w:p>
    <w:p>
      <w:pPr>
        <w:spacing w:line="588" w:lineRule="exact"/>
        <w:rPr>
          <w:rFonts w:ascii="仿宋_GB2312" w:hAnsi="宋体" w:eastAsia="仿宋_GB2312" w:cs="宋体"/>
          <w:kern w:val="0"/>
          <w:sz w:val="32"/>
          <w:szCs w:val="32"/>
        </w:rPr>
      </w:pPr>
    </w:p>
    <w:p>
      <w:pPr>
        <w:spacing w:line="588" w:lineRule="exact"/>
        <w:rPr>
          <w:rFonts w:ascii="仿宋_GB2312" w:hAnsi="宋体" w:eastAsia="仿宋_GB2312" w:cs="宋体"/>
          <w:kern w:val="0"/>
          <w:sz w:val="32"/>
          <w:szCs w:val="32"/>
        </w:rPr>
        <w:sectPr>
          <w:pgSz w:w="11906" w:h="16838"/>
          <w:pgMar w:top="1440" w:right="1800" w:bottom="1440" w:left="1800" w:header="851" w:footer="992" w:gutter="0"/>
          <w:cols w:space="425" w:num="1"/>
          <w:docGrid w:type="lines" w:linePitch="312" w:charSpace="0"/>
        </w:sectPr>
      </w:pPr>
    </w:p>
    <w:p>
      <w:pPr>
        <w:spacing w:line="588" w:lineRule="exact"/>
        <w:rPr>
          <w:rFonts w:cs="宋体" w:asciiTheme="majorEastAsia" w:hAnsiTheme="majorEastAsia" w:eastAsiaTheme="majorEastAsia"/>
          <w:b/>
          <w:kern w:val="0"/>
          <w:sz w:val="24"/>
          <w:szCs w:val="24"/>
        </w:rPr>
      </w:pPr>
      <w:r>
        <w:rPr>
          <w:rFonts w:hint="eastAsia" w:cs="宋体" w:asciiTheme="majorEastAsia" w:hAnsiTheme="majorEastAsia" w:eastAsiaTheme="majorEastAsia"/>
          <w:b/>
          <w:kern w:val="0"/>
          <w:sz w:val="24"/>
          <w:szCs w:val="24"/>
        </w:rPr>
        <w:t>附件3：</w:t>
      </w:r>
    </w:p>
    <w:p>
      <w:pPr>
        <w:jc w:val="center"/>
        <w:rPr>
          <w:rFonts w:ascii="华文细黑" w:hAnsi="华文细黑" w:eastAsia="华文细黑"/>
          <w:b/>
          <w:sz w:val="28"/>
          <w:szCs w:val="28"/>
        </w:rPr>
      </w:pPr>
      <w:r>
        <w:rPr>
          <w:rFonts w:hint="eastAsia" w:ascii="华文细黑" w:hAnsi="华文细黑" w:eastAsia="华文细黑" w:cs="宋体"/>
          <w:b/>
          <w:color w:val="000000"/>
          <w:kern w:val="0"/>
          <w:sz w:val="28"/>
          <w:szCs w:val="28"/>
        </w:rPr>
        <w:t>A类竞赛名称一览表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default" w:eastAsiaTheme="minorEastAsia"/>
          <w:b/>
          <w:bCs/>
          <w:color w:val="FF0000"/>
          <w:lang w:val="en-US" w:eastAsia="zh-CN"/>
        </w:rPr>
      </w:pPr>
      <w:r>
        <w:rPr>
          <w:rFonts w:hint="eastAsia"/>
          <w:b/>
          <w:bCs/>
          <w:color w:val="FF0000"/>
          <w:lang w:val="en-US" w:eastAsia="zh-CN"/>
        </w:rPr>
        <w:t>下表竞赛名单仅供参考，每年因主办单位不同，竞赛级别会进行相应调整。</w:t>
      </w:r>
    </w:p>
    <w:tbl>
      <w:tblPr>
        <w:tblStyle w:val="3"/>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7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华文细黑" w:hAnsi="华文细黑" w:eastAsia="华文细黑" w:cs="Times New Roman"/>
                <w:b/>
                <w:kern w:val="0"/>
                <w:sz w:val="24"/>
                <w:szCs w:val="24"/>
              </w:rPr>
            </w:pPr>
            <w:r>
              <w:rPr>
                <w:rFonts w:hint="eastAsia" w:ascii="华文细黑" w:hAnsi="华文细黑" w:eastAsia="华文细黑" w:cs="Times New Roman"/>
                <w:b/>
                <w:kern w:val="0"/>
                <w:sz w:val="24"/>
                <w:szCs w:val="24"/>
              </w:rPr>
              <w:t>序号</w:t>
            </w:r>
          </w:p>
        </w:tc>
        <w:tc>
          <w:tcPr>
            <w:tcW w:w="7031" w:type="dxa"/>
            <w:vAlign w:val="center"/>
          </w:tcPr>
          <w:p>
            <w:pPr>
              <w:spacing w:line="360" w:lineRule="auto"/>
              <w:jc w:val="center"/>
              <w:rPr>
                <w:rFonts w:ascii="华文细黑" w:hAnsi="华文细黑" w:eastAsia="华文细黑" w:cs="Times New Roman"/>
                <w:b/>
                <w:kern w:val="0"/>
                <w:sz w:val="24"/>
                <w:szCs w:val="24"/>
              </w:rPr>
            </w:pPr>
            <w:r>
              <w:rPr>
                <w:rFonts w:hint="eastAsia" w:ascii="华文细黑" w:hAnsi="华文细黑" w:eastAsia="华文细黑" w:cs="Times New Roman"/>
                <w:b/>
                <w:kern w:val="0"/>
                <w:sz w:val="24"/>
                <w:szCs w:val="24"/>
              </w:rPr>
              <w:t>竞赛名称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中国“互联网+”大学生创新创业大赛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hint="eastAsia" w:ascii="Times New Roman" w:hAnsi="Times New Roman" w:cs="Times New Roman" w:eastAsiaTheme="majorEastAsia"/>
                <w:kern w:val="0"/>
                <w:sz w:val="20"/>
                <w:szCs w:val="21"/>
              </w:rPr>
              <w:t>中国研究生智慧城市技术与创意设计大赛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“挑战杯”全国大学生课外学术科技作品竞赛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“挑战杯”中国大学生创业计划大赛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4</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ACM-ICPC国际大学生程序设计竞赛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5</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全国大学生数学建模竞赛</w:t>
            </w:r>
            <w:r>
              <w:rPr>
                <w:rFonts w:hint="eastAsia" w:ascii="Times New Roman" w:hAnsi="Times New Roman" w:cs="Times New Roman" w:eastAsiaTheme="majorEastAsia"/>
                <w:kern w:val="0"/>
                <w:sz w:val="20"/>
                <w:szCs w:val="21"/>
              </w:rPr>
              <w:t>（中国研究生数学建模竞赛）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6</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全国大学生电子设计竞赛</w:t>
            </w:r>
            <w:r>
              <w:rPr>
                <w:rFonts w:hint="eastAsia" w:ascii="Times New Roman" w:hAnsi="Times New Roman" w:cs="Times New Roman" w:eastAsiaTheme="majorEastAsia"/>
                <w:kern w:val="0"/>
                <w:sz w:val="20"/>
                <w:szCs w:val="21"/>
              </w:rPr>
              <w:t>（</w:t>
            </w:r>
            <w:r>
              <w:rPr>
                <w:rFonts w:ascii="Times New Roman" w:hAnsi="Times New Roman" w:eastAsia="宋体" w:cs="Times New Roman"/>
                <w:kern w:val="0"/>
                <w:sz w:val="20"/>
                <w:szCs w:val="21"/>
              </w:rPr>
              <w:t>中国研究生电子设计竞赛</w:t>
            </w:r>
            <w:r>
              <w:rPr>
                <w:rFonts w:hint="eastAsia" w:ascii="Times New Roman" w:hAnsi="Times New Roman" w:eastAsia="宋体" w:cs="Times New Roman"/>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7</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全国大学生化学实验邀请赛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8</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全国高等医学院校大学生临床技能大赛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9</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全国大学生机械创新设计大赛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10</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全国大学生结构设计竞赛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11</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全国大学生广告艺术大赛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12</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全国大学生智能汽车竞赛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13</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全国大学生交通科技大赛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14</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全国大学生电子商务“创新、创意及创业”挑战赛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15</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全国大学生节能减排社会实践与科技竞赛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16</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全国大学生工程训练综合能力竞赛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17</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全国大学生物流设计大赛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18</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“外研社杯”全国英语演讲大赛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19</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全国职业院校技能大赛（只纳入高职排行）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368"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20</w:t>
            </w:r>
          </w:p>
        </w:tc>
        <w:tc>
          <w:tcPr>
            <w:tcW w:w="7031" w:type="dxa"/>
            <w:vAlign w:val="center"/>
          </w:tcPr>
          <w:p>
            <w:pPr>
              <w:spacing w:line="360" w:lineRule="auto"/>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世界技能大赛</w:t>
            </w:r>
          </w:p>
        </w:tc>
      </w:tr>
    </w:tbl>
    <w:p>
      <w:pPr>
        <w:spacing w:line="720" w:lineRule="auto"/>
        <w:rPr>
          <w:rFonts w:ascii="仿宋_GB2312" w:hAnsi="宋体" w:eastAsia="仿宋_GB2312" w:cs="宋体"/>
          <w:color w:val="000000"/>
          <w:kern w:val="0"/>
          <w:sz w:val="32"/>
          <w:szCs w:val="32"/>
        </w:rPr>
        <w:sectPr>
          <w:pgSz w:w="11906" w:h="16838"/>
          <w:pgMar w:top="1440" w:right="1800" w:bottom="1440" w:left="1800" w:header="851" w:footer="992" w:gutter="0"/>
          <w:cols w:space="425" w:num="1"/>
          <w:docGrid w:type="lines" w:linePitch="312" w:charSpace="0"/>
        </w:sectPr>
      </w:pPr>
    </w:p>
    <w:p>
      <w:pPr>
        <w:spacing w:line="440" w:lineRule="exact"/>
        <w:rPr>
          <w:rFonts w:cs="宋体" w:asciiTheme="majorEastAsia" w:hAnsiTheme="majorEastAsia" w:eastAsiaTheme="majorEastAsia"/>
          <w:b/>
          <w:color w:val="000000"/>
          <w:kern w:val="0"/>
          <w:sz w:val="24"/>
          <w:szCs w:val="24"/>
        </w:rPr>
      </w:pPr>
      <w:r>
        <w:rPr>
          <w:rFonts w:hint="eastAsia" w:cs="宋体" w:asciiTheme="majorEastAsia" w:hAnsiTheme="majorEastAsia" w:eastAsiaTheme="majorEastAsia"/>
          <w:b/>
          <w:color w:val="000000"/>
          <w:kern w:val="0"/>
          <w:sz w:val="24"/>
          <w:szCs w:val="24"/>
        </w:rPr>
        <w:t>附件4：</w:t>
      </w:r>
    </w:p>
    <w:p>
      <w:pPr>
        <w:spacing w:line="440" w:lineRule="exact"/>
        <w:jc w:val="center"/>
        <w:rPr>
          <w:rFonts w:hint="eastAsia" w:ascii="华文细黑" w:hAnsi="华文细黑" w:eastAsia="华文细黑" w:cs="宋体"/>
          <w:b/>
          <w:color w:val="000000"/>
          <w:kern w:val="0"/>
          <w:sz w:val="28"/>
          <w:szCs w:val="28"/>
        </w:rPr>
      </w:pPr>
      <w:r>
        <w:rPr>
          <w:rFonts w:hint="eastAsia" w:ascii="华文细黑" w:hAnsi="华文细黑" w:eastAsia="华文细黑" w:cs="宋体"/>
          <w:b/>
          <w:color w:val="000000"/>
          <w:kern w:val="0"/>
          <w:sz w:val="28"/>
          <w:szCs w:val="28"/>
        </w:rPr>
        <w:t>B类竞赛名称一览表</w:t>
      </w:r>
    </w:p>
    <w:p>
      <w:pPr>
        <w:spacing w:line="440" w:lineRule="exact"/>
        <w:jc w:val="center"/>
        <w:rPr>
          <w:rFonts w:hint="eastAsia" w:ascii="华文细黑" w:hAnsi="华文细黑" w:eastAsia="华文细黑" w:cs="宋体"/>
          <w:b/>
          <w:color w:val="000000"/>
          <w:kern w:val="0"/>
          <w:sz w:val="28"/>
          <w:szCs w:val="28"/>
        </w:rPr>
      </w:pPr>
    </w:p>
    <w:p>
      <w:pPr>
        <w:keepNext w:val="0"/>
        <w:keepLines w:val="0"/>
        <w:pageBreakBefore w:val="0"/>
        <w:widowControl w:val="0"/>
        <w:kinsoku/>
        <w:wordWrap/>
        <w:overflowPunct/>
        <w:topLinePunct w:val="0"/>
        <w:autoSpaceDE/>
        <w:autoSpaceDN/>
        <w:bidi w:val="0"/>
        <w:adjustRightInd/>
        <w:snapToGrid/>
        <w:spacing w:line="480" w:lineRule="auto"/>
        <w:textAlignment w:val="auto"/>
      </w:pPr>
      <w:r>
        <w:rPr>
          <w:rFonts w:hint="eastAsia"/>
          <w:b/>
          <w:bCs/>
          <w:color w:val="FF0000"/>
          <w:lang w:val="en-US" w:eastAsia="zh-CN"/>
        </w:rPr>
        <w:t>下表竞赛名单仅供参考，每年因主办单位不同，竞赛级别会进行相应调整。</w:t>
      </w:r>
    </w:p>
    <w:tbl>
      <w:tblPr>
        <w:tblStyle w:val="3"/>
        <w:tblW w:w="8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7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华文细黑" w:hAnsi="华文细黑" w:eastAsia="华文细黑" w:cs="Times New Roman"/>
                <w:b/>
                <w:kern w:val="0"/>
                <w:sz w:val="24"/>
                <w:szCs w:val="24"/>
              </w:rPr>
            </w:pPr>
            <w:r>
              <w:rPr>
                <w:rFonts w:ascii="华文细黑" w:hAnsi="华文细黑" w:eastAsia="华文细黑" w:cs="Times New Roman"/>
                <w:b/>
                <w:kern w:val="0"/>
                <w:sz w:val="24"/>
                <w:szCs w:val="24"/>
              </w:rPr>
              <w:t>序号</w:t>
            </w:r>
          </w:p>
        </w:tc>
        <w:tc>
          <w:tcPr>
            <w:tcW w:w="7025" w:type="dxa"/>
            <w:vAlign w:val="center"/>
          </w:tcPr>
          <w:p>
            <w:pPr>
              <w:spacing w:line="400" w:lineRule="exact"/>
              <w:jc w:val="center"/>
              <w:rPr>
                <w:rFonts w:ascii="华文细黑" w:hAnsi="华文细黑" w:eastAsia="华文细黑" w:cs="Times New Roman"/>
                <w:b/>
                <w:kern w:val="0"/>
                <w:sz w:val="24"/>
                <w:szCs w:val="24"/>
              </w:rPr>
            </w:pPr>
            <w:r>
              <w:rPr>
                <w:rFonts w:ascii="华文细黑" w:hAnsi="华文细黑" w:eastAsia="华文细黑" w:cs="Times New Roman"/>
                <w:b/>
                <w:kern w:val="0"/>
                <w:sz w:val="24"/>
                <w:szCs w:val="24"/>
              </w:rPr>
              <w:t>竞赛名称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8285" w:type="dxa"/>
            <w:gridSpan w:val="2"/>
            <w:vAlign w:val="center"/>
          </w:tcPr>
          <w:p>
            <w:pPr>
              <w:spacing w:line="400" w:lineRule="exact"/>
              <w:jc w:val="center"/>
              <w:rPr>
                <w:rFonts w:ascii="华文细黑" w:hAnsi="华文细黑" w:eastAsia="华文细黑" w:cs="Times New Roman"/>
                <w:b/>
                <w:kern w:val="0"/>
                <w:sz w:val="24"/>
                <w:szCs w:val="24"/>
              </w:rPr>
            </w:pPr>
            <w:r>
              <w:rPr>
                <w:rFonts w:hint="eastAsia" w:ascii="华文细黑" w:hAnsi="华文细黑" w:eastAsia="华文细黑" w:cs="Times New Roman"/>
                <w:b/>
                <w:bCs/>
                <w:kern w:val="0"/>
                <w:sz w:val="24"/>
                <w:szCs w:val="24"/>
              </w:rPr>
              <w:t xml:space="preserve">         </w:t>
            </w:r>
            <w:r>
              <w:rPr>
                <w:rFonts w:ascii="华文细黑" w:hAnsi="华文细黑" w:eastAsia="华文细黑" w:cs="Times New Roman"/>
                <w:b/>
                <w:bCs/>
                <w:kern w:val="0"/>
                <w:sz w:val="24"/>
                <w:szCs w:val="24"/>
              </w:rPr>
              <w:t>上海高校分类评价指标-</w:t>
            </w:r>
            <w:r>
              <w:rPr>
                <w:rFonts w:hint="eastAsia" w:ascii="华文细黑" w:hAnsi="华文细黑" w:eastAsia="华文细黑" w:cs="Times New Roman"/>
                <w:b/>
                <w:bCs/>
                <w:kern w:val="0"/>
                <w:sz w:val="24"/>
                <w:szCs w:val="24"/>
              </w:rPr>
              <w:t>研究生</w:t>
            </w:r>
            <w:r>
              <w:rPr>
                <w:rFonts w:ascii="华文细黑" w:hAnsi="华文细黑" w:eastAsia="华文细黑" w:cs="Times New Roman"/>
                <w:b/>
                <w:bCs/>
                <w:kern w:val="0"/>
                <w:sz w:val="24"/>
                <w:szCs w:val="24"/>
              </w:rPr>
              <w:t>（应用技术型）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hint="eastAsia" w:ascii="Times New Roman" w:hAnsi="Times New Roman" w:eastAsia="宋体" w:cs="Times New Roman"/>
                <w:kern w:val="0"/>
                <w:sz w:val="20"/>
                <w:szCs w:val="21"/>
              </w:rPr>
              <w:t>中</w:t>
            </w:r>
            <w:r>
              <w:rPr>
                <w:rFonts w:ascii="Times New Roman" w:hAnsi="Times New Roman" w:eastAsia="宋体" w:cs="Times New Roman"/>
                <w:kern w:val="0"/>
                <w:sz w:val="20"/>
                <w:szCs w:val="21"/>
              </w:rPr>
              <w:t>国研究生移动终端应用设计创新大赛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中国研究生未来飞行器创新大赛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3</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中国研究生石油装备创新设计大赛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4</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中国研究生公共管理案例大赛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5</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中国MPAcc学生案例大赛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6</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中国石油工程设计大赛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7</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“汇创青春”--上海大学生文化创意作品展示活动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285" w:type="dxa"/>
            <w:gridSpan w:val="2"/>
            <w:vAlign w:val="center"/>
          </w:tcPr>
          <w:p>
            <w:pPr>
              <w:spacing w:line="400" w:lineRule="exact"/>
              <w:jc w:val="center"/>
              <w:rPr>
                <w:rFonts w:ascii="华文细黑" w:hAnsi="华文细黑" w:eastAsia="华文细黑" w:cs="Times New Roman"/>
                <w:b/>
                <w:kern w:val="0"/>
                <w:sz w:val="24"/>
                <w:szCs w:val="24"/>
              </w:rPr>
            </w:pPr>
            <w:r>
              <w:rPr>
                <w:rFonts w:hint="eastAsia" w:ascii="华文细黑" w:hAnsi="华文细黑" w:eastAsia="华文细黑" w:cs="Times New Roman"/>
                <w:b/>
                <w:bCs/>
                <w:kern w:val="0"/>
                <w:sz w:val="24"/>
                <w:szCs w:val="24"/>
              </w:rPr>
              <w:t xml:space="preserve">      </w:t>
            </w:r>
            <w:r>
              <w:rPr>
                <w:rFonts w:ascii="华文细黑" w:hAnsi="华文细黑" w:eastAsia="华文细黑" w:cs="Times New Roman"/>
                <w:b/>
                <w:bCs/>
                <w:kern w:val="0"/>
                <w:sz w:val="24"/>
                <w:szCs w:val="24"/>
              </w:rPr>
              <w:t>教育教学指导委员会主办的全国性赛事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中国机器人大赛暨 RoboCup公开赛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2</w:t>
            </w:r>
          </w:p>
        </w:tc>
        <w:tc>
          <w:tcPr>
            <w:tcW w:w="7025" w:type="dxa"/>
            <w:vAlign w:val="center"/>
          </w:tcPr>
          <w:p>
            <w:pPr>
              <w:spacing w:line="400" w:lineRule="exact"/>
              <w:jc w:val="center"/>
              <w:rPr>
                <w:rFonts w:ascii="Times New Roman" w:hAnsi="Times New Roman" w:eastAsia="宋体" w:cs="Times New Roman"/>
                <w:color w:val="FF0000"/>
                <w:kern w:val="0"/>
                <w:sz w:val="20"/>
                <w:szCs w:val="21"/>
              </w:rPr>
            </w:pPr>
            <w:r>
              <w:rPr>
                <w:rFonts w:ascii="Times New Roman" w:hAnsi="Times New Roman" w:eastAsia="宋体" w:cs="Times New Roman"/>
                <w:kern w:val="0"/>
                <w:sz w:val="20"/>
                <w:szCs w:val="21"/>
              </w:rPr>
              <w:t>中国（国际）传感器创新创业大赛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3</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“台达杯”高校自动化设计大赛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4</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中国服务机器人大赛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5</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中国高校计算机大赛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6</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中国大学生计算机设计大赛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7</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“西门子杯”中国智能制造挑战赛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8</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中国工程机器人大赛暨国际公开赛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9</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全国大学生市场调查与分析大赛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10</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“外研社”杯全国英语写作、英语阅读大赛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11</w:t>
            </w:r>
          </w:p>
        </w:tc>
        <w:tc>
          <w:tcPr>
            <w:tcW w:w="7025" w:type="dxa"/>
            <w:vAlign w:val="center"/>
          </w:tcPr>
          <w:p>
            <w:pPr>
              <w:spacing w:line="400" w:lineRule="exact"/>
              <w:jc w:val="center"/>
              <w:rPr>
                <w:rFonts w:ascii="Times New Roman" w:hAnsi="Times New Roman" w:eastAsia="宋体" w:cs="Times New Roman"/>
                <w:color w:val="FF0000"/>
                <w:kern w:val="0"/>
                <w:sz w:val="20"/>
                <w:szCs w:val="21"/>
              </w:rPr>
            </w:pPr>
            <w:r>
              <w:rPr>
                <w:rFonts w:ascii="Times New Roman" w:hAnsi="Times New Roman" w:eastAsia="宋体" w:cs="Times New Roman"/>
                <w:color w:val="000000" w:themeColor="text1"/>
                <w:kern w:val="0"/>
                <w:sz w:val="20"/>
                <w:szCs w:val="21"/>
                <w14:textFill>
                  <w14:solidFill>
                    <w14:schemeClr w14:val="tx1"/>
                  </w14:solidFill>
                </w14:textFill>
              </w:rPr>
              <w:t>全国大学生英语竞赛（NECCS）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12</w:t>
            </w:r>
          </w:p>
        </w:tc>
        <w:tc>
          <w:tcPr>
            <w:tcW w:w="7025" w:type="dxa"/>
            <w:vAlign w:val="center"/>
          </w:tcPr>
          <w:p>
            <w:pPr>
              <w:spacing w:line="400" w:lineRule="exact"/>
              <w:jc w:val="center"/>
              <w:rPr>
                <w:rFonts w:ascii="Times New Roman" w:hAnsi="Times New Roman" w:eastAsia="宋体" w:cs="Times New Roman"/>
                <w:color w:val="FF0000"/>
                <w:kern w:val="0"/>
                <w:sz w:val="20"/>
                <w:szCs w:val="21"/>
              </w:rPr>
            </w:pPr>
            <w:r>
              <w:rPr>
                <w:rFonts w:ascii="Times New Roman" w:hAnsi="Times New Roman" w:eastAsia="宋体" w:cs="Times New Roman"/>
                <w:kern w:val="0"/>
                <w:sz w:val="20"/>
                <w:szCs w:val="21"/>
              </w:rPr>
              <w:t>全国高校商业精英挑战赛营销模拟决策竞赛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13</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全国高校商业精英挑战赛经贸会展竞赛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14</w:t>
            </w:r>
          </w:p>
        </w:tc>
        <w:tc>
          <w:tcPr>
            <w:tcW w:w="7025"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全国高校商业精英挑战赛国际贸易竞赛总决赛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15</w:t>
            </w:r>
          </w:p>
        </w:tc>
        <w:tc>
          <w:tcPr>
            <w:tcW w:w="7025" w:type="dxa"/>
            <w:vAlign w:val="center"/>
          </w:tcPr>
          <w:p>
            <w:pPr>
              <w:spacing w:line="400" w:lineRule="exact"/>
              <w:jc w:val="center"/>
              <w:rPr>
                <w:rFonts w:ascii="Times New Roman" w:hAnsi="Times New Roman" w:eastAsia="宋体" w:cs="Times New Roman"/>
                <w:color w:val="FF0000"/>
                <w:kern w:val="0"/>
                <w:sz w:val="20"/>
                <w:szCs w:val="21"/>
              </w:rPr>
            </w:pPr>
            <w:r>
              <w:rPr>
                <w:rFonts w:ascii="Times New Roman" w:hAnsi="Times New Roman" w:eastAsia="宋体" w:cs="Times New Roman"/>
                <w:kern w:val="0"/>
                <w:sz w:val="20"/>
                <w:szCs w:val="21"/>
              </w:rPr>
              <w:t>全国韩语口语技能大赛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60" w:type="dxa"/>
            <w:vAlign w:val="center"/>
          </w:tcPr>
          <w:p>
            <w:pPr>
              <w:spacing w:line="400" w:lineRule="exact"/>
              <w:jc w:val="center"/>
              <w:rPr>
                <w:rFonts w:ascii="Times New Roman" w:hAnsi="Times New Roman" w:eastAsia="宋体" w:cs="Times New Roman"/>
                <w:kern w:val="0"/>
                <w:sz w:val="20"/>
                <w:szCs w:val="21"/>
              </w:rPr>
            </w:pPr>
            <w:r>
              <w:rPr>
                <w:rFonts w:ascii="Times New Roman" w:hAnsi="Times New Roman" w:eastAsia="宋体" w:cs="Times New Roman"/>
                <w:kern w:val="0"/>
                <w:sz w:val="20"/>
                <w:szCs w:val="21"/>
              </w:rPr>
              <w:t>16</w:t>
            </w:r>
          </w:p>
        </w:tc>
        <w:tc>
          <w:tcPr>
            <w:tcW w:w="7025" w:type="dxa"/>
            <w:vAlign w:val="center"/>
          </w:tcPr>
          <w:p>
            <w:pPr>
              <w:spacing w:line="400" w:lineRule="exact"/>
              <w:jc w:val="center"/>
              <w:rPr>
                <w:rFonts w:ascii="Times New Roman" w:hAnsi="Times New Roman" w:eastAsia="宋体" w:cs="Times New Roman"/>
                <w:color w:val="FF0000"/>
                <w:kern w:val="0"/>
                <w:sz w:val="20"/>
                <w:szCs w:val="21"/>
              </w:rPr>
            </w:pPr>
            <w:r>
              <w:rPr>
                <w:rFonts w:ascii="Times New Roman" w:hAnsi="Times New Roman" w:eastAsia="宋体" w:cs="Times New Roman"/>
                <w:kern w:val="0"/>
                <w:sz w:val="20"/>
                <w:szCs w:val="21"/>
              </w:rPr>
              <w:t>全国大学生工业设计大赛</w:t>
            </w:r>
          </w:p>
        </w:tc>
      </w:tr>
    </w:tbl>
    <w:p>
      <w:pPr>
        <w:widowControl/>
        <w:jc w:val="left"/>
        <w:rPr>
          <w:rFonts w:ascii="仿宋_GB2312" w:hAnsi="宋体" w:eastAsia="仿宋_GB2312" w:cs="宋体"/>
          <w:color w:val="000000"/>
          <w:kern w:val="0"/>
          <w:sz w:val="32"/>
          <w:szCs w:val="32"/>
        </w:rPr>
      </w:pPr>
      <w:r>
        <w:rPr>
          <w:rFonts w:ascii="仿宋_GB2312" w:hAnsi="宋体" w:eastAsia="仿宋_GB2312" w:cs="宋体"/>
          <w:color w:val="000000"/>
          <w:kern w:val="0"/>
          <w:sz w:val="32"/>
          <w:szCs w:val="32"/>
        </w:rPr>
        <w:br w:type="page"/>
      </w:r>
    </w:p>
    <w:p>
      <w:pPr>
        <w:spacing w:line="400" w:lineRule="exact"/>
        <w:rPr>
          <w:rFonts w:cs="宋体" w:asciiTheme="minorEastAsia" w:hAnsiTheme="minorEastAsia"/>
          <w:b/>
          <w:color w:val="000000"/>
          <w:kern w:val="0"/>
          <w:sz w:val="24"/>
          <w:szCs w:val="24"/>
        </w:rPr>
      </w:pPr>
      <w:r>
        <w:rPr>
          <w:rFonts w:hint="eastAsia" w:cs="宋体" w:asciiTheme="minorEastAsia" w:hAnsiTheme="minorEastAsia"/>
          <w:b/>
          <w:color w:val="000000"/>
          <w:kern w:val="0"/>
          <w:sz w:val="24"/>
          <w:szCs w:val="24"/>
        </w:rPr>
        <w:t>附件5：</w:t>
      </w:r>
    </w:p>
    <w:p>
      <w:pPr>
        <w:spacing w:after="156" w:afterLines="50" w:line="400" w:lineRule="exact"/>
        <w:jc w:val="center"/>
        <w:rPr>
          <w:rFonts w:hint="eastAsia" w:ascii="华文细黑" w:hAnsi="华文细黑" w:eastAsia="华文细黑" w:cs="宋体"/>
          <w:b/>
          <w:color w:val="000000"/>
          <w:kern w:val="0"/>
          <w:sz w:val="24"/>
          <w:szCs w:val="24"/>
        </w:rPr>
      </w:pPr>
      <w:r>
        <w:rPr>
          <w:rFonts w:hint="eastAsia" w:ascii="华文细黑" w:hAnsi="华文细黑" w:eastAsia="华文细黑" w:cs="宋体"/>
          <w:b/>
          <w:color w:val="000000"/>
          <w:kern w:val="0"/>
          <w:sz w:val="24"/>
          <w:szCs w:val="24"/>
        </w:rPr>
        <w:t>C类竞赛名称一览表</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华文细黑" w:hAnsi="华文细黑" w:eastAsia="华文细黑" w:cs="宋体"/>
          <w:b/>
          <w:color w:val="000000"/>
          <w:kern w:val="0"/>
          <w:sz w:val="24"/>
          <w:szCs w:val="24"/>
        </w:rPr>
      </w:pPr>
      <w:r>
        <w:rPr>
          <w:rFonts w:hint="eastAsia"/>
          <w:b/>
          <w:bCs/>
          <w:color w:val="FF0000"/>
          <w:lang w:val="en-US" w:eastAsia="zh-CN"/>
        </w:rPr>
        <w:t>下表竞赛名单仅供参考，每年因主办单位不同，竞赛级别会进行相应调整。</w:t>
      </w:r>
      <w:bookmarkStart w:id="0" w:name="_GoBack"/>
      <w:bookmarkEnd w:id="0"/>
    </w:p>
    <w:tbl>
      <w:tblPr>
        <w:tblStyle w:val="3"/>
        <w:tblW w:w="84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6725"/>
      </w:tblGrid>
      <w:tr>
        <w:tblPrEx>
          <w:tblCellMar>
            <w:top w:w="0" w:type="dxa"/>
            <w:left w:w="108" w:type="dxa"/>
            <w:bottom w:w="0" w:type="dxa"/>
            <w:right w:w="108" w:type="dxa"/>
          </w:tblCellMar>
        </w:tblPrEx>
        <w:trPr>
          <w:jc w:val="center"/>
        </w:trPr>
        <w:tc>
          <w:tcPr>
            <w:tcW w:w="1699" w:type="dxa"/>
            <w:vAlign w:val="center"/>
          </w:tcPr>
          <w:p>
            <w:pPr>
              <w:spacing w:line="300" w:lineRule="exact"/>
              <w:jc w:val="center"/>
              <w:rPr>
                <w:rFonts w:ascii="华文细黑" w:hAnsi="华文细黑" w:eastAsia="华文细黑" w:cs="Times New Roman"/>
                <w:b/>
                <w:kern w:val="0"/>
                <w:sz w:val="24"/>
                <w:szCs w:val="24"/>
              </w:rPr>
            </w:pPr>
            <w:r>
              <w:rPr>
                <w:rFonts w:ascii="华文细黑" w:hAnsi="华文细黑" w:eastAsia="华文细黑" w:cs="Times New Roman"/>
                <w:b/>
                <w:kern w:val="0"/>
                <w:sz w:val="24"/>
                <w:szCs w:val="24"/>
              </w:rPr>
              <w:t>序号</w:t>
            </w:r>
          </w:p>
        </w:tc>
        <w:tc>
          <w:tcPr>
            <w:tcW w:w="6725" w:type="dxa"/>
            <w:vAlign w:val="center"/>
          </w:tcPr>
          <w:p>
            <w:pPr>
              <w:spacing w:line="300" w:lineRule="exact"/>
              <w:jc w:val="center"/>
              <w:rPr>
                <w:rFonts w:ascii="华文细黑" w:hAnsi="华文细黑" w:eastAsia="华文细黑" w:cs="Times New Roman"/>
                <w:b/>
                <w:kern w:val="0"/>
                <w:sz w:val="24"/>
                <w:szCs w:val="24"/>
              </w:rPr>
            </w:pPr>
            <w:r>
              <w:rPr>
                <w:rFonts w:hint="eastAsia" w:ascii="华文细黑" w:hAnsi="华文细黑" w:eastAsia="华文细黑" w:cs="Times New Roman"/>
                <w:b/>
                <w:bCs/>
                <w:kern w:val="0"/>
                <w:sz w:val="24"/>
                <w:szCs w:val="24"/>
              </w:rPr>
              <w:t>其他全国性学科竞赛及上海市教委赛事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w:t>
            </w:r>
          </w:p>
        </w:tc>
        <w:tc>
          <w:tcPr>
            <w:tcW w:w="6725" w:type="dxa"/>
            <w:vAlign w:val="center"/>
          </w:tcPr>
          <w:p>
            <w:pPr>
              <w:spacing w:line="300" w:lineRule="exact"/>
              <w:jc w:val="center"/>
              <w:rPr>
                <w:rFonts w:ascii="Times New Roman" w:hAnsi="Times New Roman" w:cs="Times New Roman" w:eastAsiaTheme="majorEastAsia"/>
                <w:kern w:val="0"/>
                <w:sz w:val="20"/>
                <w:szCs w:val="21"/>
                <w:shd w:val="pct10" w:color="auto" w:fill="FFFFFF"/>
              </w:rPr>
            </w:pPr>
            <w:r>
              <w:rPr>
                <w:rFonts w:ascii="Times New Roman" w:hAnsi="Times New Roman" w:cs="Times New Roman" w:eastAsiaTheme="majorEastAsia"/>
                <w:kern w:val="0"/>
                <w:sz w:val="20"/>
                <w:szCs w:val="21"/>
              </w:rPr>
              <w:t>高等学校信息技术创新与实践活动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国际水中机器人大赛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全国大学生“新道杯”沙盘模拟经营大赛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4</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世界机器人大赛格斗机器人大赛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5</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中国大学生程序设计竞赛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6</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color w:val="000000"/>
                <w:kern w:val="0"/>
                <w:sz w:val="20"/>
                <w:szCs w:val="21"/>
              </w:rPr>
              <w:t>中国国际飞行器设计挑战赛暨科研类全国航空航天模型公开赛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7</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“上汽教育杯”上海市高校学生科技创新作品展示评优活动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8</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“上图杯”先进成图技术大赛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9</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上海大学生企业经营模拟沙盘大赛(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10</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上海市大学生“创造杯”大赛(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11</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上海市大学生工业自动化挑战赛(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12</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上海市大学生机械工程创新大赛(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13</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上海市大学生决策仿真实践大赛(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14</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上海市大学生先进材料创新创意大赛(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15</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上海大学生创新活动论坛(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16</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全国三维数字化创新设计大赛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17</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陈嘉庚青少年发明奖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18</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“21世纪·华澳杯”中澳友好全国大学生英语大赛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19</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“云丰杯”全国逆向物流设计大赛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20</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讲好中国故事创意传播国际大赛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21</w:t>
            </w:r>
          </w:p>
        </w:tc>
        <w:tc>
          <w:tcPr>
            <w:tcW w:w="6725" w:type="dxa"/>
            <w:vAlign w:val="center"/>
          </w:tcPr>
          <w:p>
            <w:pPr>
              <w:spacing w:line="300" w:lineRule="exact"/>
              <w:jc w:val="center"/>
              <w:rPr>
                <w:rFonts w:ascii="Times New Roman" w:hAnsi="Times New Roman" w:cs="Times New Roman" w:eastAsiaTheme="majorEastAsia"/>
                <w:color w:val="000000"/>
                <w:kern w:val="0"/>
                <w:sz w:val="20"/>
                <w:szCs w:val="21"/>
              </w:rPr>
            </w:pPr>
            <w:r>
              <w:rPr>
                <w:rFonts w:ascii="Times New Roman" w:hAnsi="Times New Roman" w:cs="Times New Roman" w:eastAsiaTheme="majorEastAsia"/>
                <w:kern w:val="0"/>
                <w:sz w:val="20"/>
                <w:szCs w:val="21"/>
              </w:rPr>
              <w:t>中国大学生公共关系策划大赛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22</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中国大学生物理学术竞赛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23</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世界头脑奥林匹克中国区决赛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24</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海峡两岸应用性高等教育学术研讨会两岸创新创意创业竞赛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25</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上海市大学生计算机应用能力大赛(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26</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上海市大学生网络商务创新应用大赛(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27</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上海市高校商业精英挑战赛国际贸易专业竞赛(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28</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全国大学生物流仿真设计大赛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29</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全国商科院校技能大赛国际贸易专业竞赛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30</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全国高校数字艺术作品大赛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31</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中国包装创意设计大赛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32</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中国老年福祉产品设计大赛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33</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海峡两岸应用性高等教育学术研讨会两岸创新创意创业竞赛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34</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上海市大学生工业设计大赛(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35</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全国高等院校学生斯维尔杯BIM系列软件建筑信息模型大赛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36</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上海市“星光计划”职业院校技能大赛(</w:t>
            </w:r>
            <w:r>
              <w:rPr>
                <w:rFonts w:ascii="Times New Roman" w:hAnsi="Times New Roman" w:cs="Times New Roman" w:eastAsiaTheme="majorEastAsia"/>
                <w:kern w:val="0"/>
                <w:sz w:val="20"/>
                <w:szCs w:val="21"/>
                <w:shd w:val="clear" w:color="auto" w:fill="FFFFFF"/>
              </w:rPr>
              <w:t>上海市教育委员会主办</w:t>
            </w:r>
            <w:r>
              <w:rPr>
                <w:rFonts w:ascii="Times New Roman" w:hAnsi="Times New Roman" w:cs="Times New Roman" w:eastAsiaTheme="majorEastAsia"/>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37</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“华三杯”全国大学生网络技术大赛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38</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大学生房地产策划大赛暨首届全国大学生房地产专业能力大赛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39</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中国大学生韩国语演讲大赛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9"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40</w:t>
            </w:r>
          </w:p>
        </w:tc>
        <w:tc>
          <w:tcPr>
            <w:tcW w:w="6725" w:type="dxa"/>
            <w:vAlign w:val="center"/>
          </w:tcPr>
          <w:p>
            <w:pPr>
              <w:spacing w:line="300" w:lineRule="exact"/>
              <w:jc w:val="center"/>
              <w:rPr>
                <w:rFonts w:ascii="Times New Roman" w:hAnsi="Times New Roman" w:cs="Times New Roman" w:eastAsiaTheme="majorEastAsia"/>
                <w:kern w:val="0"/>
                <w:sz w:val="20"/>
                <w:szCs w:val="21"/>
              </w:rPr>
            </w:pPr>
            <w:r>
              <w:rPr>
                <w:rFonts w:ascii="Times New Roman" w:hAnsi="Times New Roman" w:cs="Times New Roman" w:eastAsiaTheme="majorEastAsia"/>
                <w:kern w:val="0"/>
                <w:sz w:val="20"/>
                <w:szCs w:val="21"/>
              </w:rPr>
              <w:t>蓝桥杯全国软件和信息技术专业人才大赛</w:t>
            </w:r>
          </w:p>
        </w:tc>
      </w:tr>
    </w:tbl>
    <w:p>
      <w:pPr>
        <w:spacing w:line="400" w:lineRule="exact"/>
        <w:rPr>
          <w:rFonts w:ascii="华文细黑" w:hAnsi="华文细黑" w:eastAsia="华文细黑" w:cs="宋体"/>
          <w:b/>
          <w:color w:val="000000"/>
          <w:kern w:val="0"/>
          <w:sz w:val="28"/>
          <w:szCs w:val="28"/>
        </w:rPr>
      </w:pPr>
      <w:r>
        <w:rPr>
          <w:rFonts w:hint="eastAsia" w:cs="宋体" w:asciiTheme="minorEastAsia" w:hAnsiTheme="minorEastAsia"/>
          <w:b/>
          <w:color w:val="000000"/>
          <w:kern w:val="0"/>
          <w:sz w:val="24"/>
          <w:szCs w:val="24"/>
        </w:rPr>
        <w:t>附件6：</w:t>
      </w:r>
    </w:p>
    <w:p>
      <w:pPr>
        <w:spacing w:line="440" w:lineRule="exact"/>
        <w:jc w:val="center"/>
        <w:rPr>
          <w:rFonts w:ascii="华文细黑" w:hAnsi="华文细黑" w:eastAsia="华文细黑" w:cs="宋体"/>
          <w:b/>
          <w:color w:val="000000"/>
          <w:kern w:val="0"/>
          <w:sz w:val="28"/>
          <w:szCs w:val="28"/>
        </w:rPr>
      </w:pPr>
      <w:r>
        <w:rPr>
          <w:rFonts w:hint="eastAsia" w:ascii="华文细黑" w:hAnsi="华文细黑" w:eastAsia="华文细黑" w:cs="宋体"/>
          <w:b/>
          <w:color w:val="000000"/>
          <w:kern w:val="0"/>
          <w:sz w:val="28"/>
          <w:szCs w:val="28"/>
        </w:rPr>
        <w:t>D类竞赛名称一览表</w:t>
      </w:r>
    </w:p>
    <w:p>
      <w:pPr>
        <w:spacing w:line="440" w:lineRule="exact"/>
        <w:jc w:val="center"/>
        <w:rPr>
          <w:rFonts w:ascii="华文细黑" w:hAnsi="华文细黑" w:eastAsia="华文细黑" w:cs="宋体"/>
          <w:b/>
          <w:color w:val="000000"/>
          <w:kern w:val="0"/>
          <w:sz w:val="28"/>
          <w:szCs w:val="28"/>
        </w:rPr>
      </w:pPr>
    </w:p>
    <w:tbl>
      <w:tblPr>
        <w:tblStyle w:val="3"/>
        <w:tblW w:w="77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6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b/>
                <w:kern w:val="0"/>
                <w:sz w:val="20"/>
                <w:szCs w:val="20"/>
              </w:rPr>
            </w:pPr>
            <w:r>
              <w:rPr>
                <w:rFonts w:ascii="Calibri" w:hAnsi="Calibri" w:eastAsia="宋体" w:cs="Times New Roman"/>
                <w:b/>
                <w:kern w:val="0"/>
                <w:sz w:val="20"/>
                <w:szCs w:val="20"/>
              </w:rPr>
              <w:t>序号</w:t>
            </w:r>
          </w:p>
        </w:tc>
        <w:tc>
          <w:tcPr>
            <w:tcW w:w="6197" w:type="dxa"/>
            <w:vAlign w:val="center"/>
          </w:tcPr>
          <w:p>
            <w:pPr>
              <w:spacing w:line="360" w:lineRule="auto"/>
              <w:jc w:val="center"/>
              <w:rPr>
                <w:rFonts w:ascii="Calibri" w:hAnsi="Calibri" w:eastAsia="宋体" w:cs="Times New Roman"/>
                <w:b/>
                <w:kern w:val="0"/>
                <w:sz w:val="20"/>
                <w:szCs w:val="20"/>
              </w:rPr>
            </w:pPr>
            <w:r>
              <w:rPr>
                <w:rFonts w:ascii="Calibri" w:hAnsi="Calibri" w:eastAsia="宋体" w:cs="Times New Roman"/>
                <w:b/>
                <w:kern w:val="0"/>
                <w:sz w:val="20"/>
                <w:szCs w:val="20"/>
              </w:rPr>
              <w:t>C类</w:t>
            </w:r>
            <w:r>
              <w:rPr>
                <w:rFonts w:hint="eastAsia" w:ascii="Calibri" w:hAnsi="Calibri" w:eastAsia="宋体" w:cs="Times New Roman"/>
                <w:b/>
                <w:kern w:val="0"/>
                <w:sz w:val="20"/>
                <w:szCs w:val="20"/>
              </w:rPr>
              <w:t>竞赛</w:t>
            </w:r>
            <w:r>
              <w:rPr>
                <w:rFonts w:ascii="Calibri" w:hAnsi="Calibri" w:eastAsia="宋体" w:cs="Times New Roman"/>
                <w:b/>
                <w:kern w:val="0"/>
                <w:sz w:val="20"/>
                <w:szCs w:val="20"/>
              </w:rPr>
              <w:t>以外的其他省部级赛事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SAP DemoJam Shanghai 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2</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全国部分地区大学生物理竞赛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3</w:t>
            </w:r>
          </w:p>
        </w:tc>
        <w:tc>
          <w:tcPr>
            <w:tcW w:w="619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上海市大学生数学竞赛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4</w:t>
            </w:r>
          </w:p>
        </w:tc>
        <w:tc>
          <w:tcPr>
            <w:tcW w:w="619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上海市大学生物理学术竞赛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5</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“兴业杯”上海立信会计金融学院校际大学生市场营销策划大赛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6</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电子商务师竞赛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7</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上海市电子商务职业技能竞赛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8</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color w:val="000000"/>
                <w:kern w:val="0"/>
                <w:sz w:val="20"/>
                <w:szCs w:val="20"/>
              </w:rPr>
              <w:t>“启影”大学生电影节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9</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“21世纪报杯”上海市高职高专英语读报大赛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10</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“朗讯杯”智能硬件系统的芯片测试与电路检测大赛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11</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“李斌杯”中高贯通数控技术专业数控多轴编程与加工技能竞赛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12</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大韩民国驻上海总领事杯韩语演讲比赛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13</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浦东新区网上科技节 “创新引领共享发展”科普公益广告创意设计现场赛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14</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上海国际美容美发美甲邀请赛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15</w:t>
            </w:r>
          </w:p>
        </w:tc>
        <w:tc>
          <w:tcPr>
            <w:tcW w:w="6197" w:type="dxa"/>
            <w:vAlign w:val="center"/>
          </w:tcPr>
          <w:p>
            <w:pPr>
              <w:jc w:val="center"/>
              <w:rPr>
                <w:rFonts w:ascii="宋体" w:hAnsi="宋体" w:eastAsia="宋体" w:cs="宋体"/>
                <w:color w:val="000000"/>
                <w:kern w:val="0"/>
                <w:sz w:val="20"/>
                <w:szCs w:val="20"/>
              </w:rPr>
            </w:pPr>
            <w:r>
              <w:rPr>
                <w:rFonts w:hint="eastAsia" w:ascii="Calibri" w:hAnsi="Calibri" w:eastAsia="宋体" w:cs="Times New Roman"/>
                <w:kern w:val="0"/>
                <w:sz w:val="20"/>
                <w:szCs w:val="20"/>
              </w:rPr>
              <w:t>上海市浦东新区“康桥杯”机器人应用技能邀请赛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7" w:type="dxa"/>
            <w:vAlign w:val="center"/>
          </w:tcPr>
          <w:p>
            <w:pPr>
              <w:spacing w:line="360" w:lineRule="auto"/>
              <w:jc w:val="center"/>
              <w:rPr>
                <w:rFonts w:ascii="Calibri" w:hAnsi="Calibri" w:eastAsia="宋体" w:cs="Times New Roman"/>
                <w:kern w:val="0"/>
                <w:sz w:val="20"/>
                <w:szCs w:val="20"/>
              </w:rPr>
            </w:pPr>
            <w:r>
              <w:rPr>
                <w:rFonts w:hint="eastAsia" w:ascii="Calibri" w:hAnsi="Calibri" w:eastAsia="宋体" w:cs="Times New Roman"/>
                <w:kern w:val="0"/>
                <w:sz w:val="20"/>
                <w:szCs w:val="20"/>
              </w:rPr>
              <w:t>16</w:t>
            </w:r>
          </w:p>
        </w:tc>
        <w:tc>
          <w:tcPr>
            <w:tcW w:w="6197" w:type="dxa"/>
            <w:vAlign w:val="center"/>
          </w:tcPr>
          <w:p>
            <w:pPr>
              <w:jc w:val="center"/>
              <w:rPr>
                <w:rFonts w:ascii="宋体" w:hAnsi="宋体" w:eastAsia="宋体" w:cs="宋体"/>
                <w:kern w:val="0"/>
                <w:sz w:val="20"/>
                <w:szCs w:val="20"/>
              </w:rPr>
            </w:pPr>
            <w:r>
              <w:rPr>
                <w:rFonts w:hint="eastAsia" w:ascii="Calibri" w:hAnsi="Calibri" w:eastAsia="宋体" w:cs="Times New Roman"/>
                <w:kern w:val="0"/>
                <w:sz w:val="20"/>
                <w:szCs w:val="20"/>
              </w:rPr>
              <w:t>上海市浦东新区康桥工业区机器人应用技能邀请赛</w:t>
            </w:r>
          </w:p>
        </w:tc>
      </w:tr>
    </w:tbl>
    <w:p>
      <w:pPr>
        <w:spacing w:line="360" w:lineRule="auto"/>
        <w:rPr>
          <w:kern w:val="0"/>
          <w:sz w:val="2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509"/>
    <w:rsid w:val="00652271"/>
    <w:rsid w:val="00D64509"/>
    <w:rsid w:val="00F61CFF"/>
    <w:rsid w:val="049632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434</Words>
  <Characters>2477</Characters>
  <Lines>20</Lines>
  <Paragraphs>5</Paragraphs>
  <TotalTime>0</TotalTime>
  <ScaleCrop>false</ScaleCrop>
  <LinksUpToDate>false</LinksUpToDate>
  <CharactersWithSpaces>2906</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2019-12-16T06:13:00Z</dcterms:created>
  <dc:creator>徐闻杰</dc:creator>
  <cp:lastModifiedBy>Ee</cp:lastModifiedBy>
  <dcterms:modified xsi:type="dcterms:W3CDTF">2020-10-29T02:29:48Z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