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DA" w:rsidRDefault="007A28DA" w:rsidP="00503822">
      <w:pPr>
        <w:widowControl/>
        <w:spacing w:before="100" w:beforeAutospacing="1" w:after="100" w:afterAutospacing="1" w:line="360" w:lineRule="atLeast"/>
        <w:jc w:val="center"/>
        <w:rPr>
          <w:rFonts w:ascii="Arial" w:hAnsi="Arial" w:cs="Arial"/>
          <w:kern w:val="0"/>
          <w:sz w:val="18"/>
          <w:szCs w:val="18"/>
        </w:rPr>
      </w:pPr>
      <w:r w:rsidRPr="00345BD3">
        <w:rPr>
          <w:rFonts w:ascii="黑体" w:eastAsia="黑体" w:hAnsi="宋体" w:cs="Arial" w:hint="eastAsia"/>
          <w:bCs/>
          <w:color w:val="000000"/>
          <w:kern w:val="0"/>
          <w:sz w:val="30"/>
          <w:szCs w:val="30"/>
        </w:rPr>
        <w:t>关于规范本市专业技术职称申报条件的通知</w:t>
      </w:r>
      <w:r w:rsidRPr="00D24B31">
        <w:rPr>
          <w:rFonts w:ascii="Arial" w:hAnsi="Arial" w:cs="Arial"/>
          <w:kern w:val="0"/>
          <w:sz w:val="30"/>
          <w:szCs w:val="30"/>
        </w:rPr>
        <w:br/>
      </w:r>
      <w:r>
        <w:rPr>
          <w:rFonts w:ascii="Arial" w:hAnsi="Arial" w:cs="Arial"/>
          <w:kern w:val="0"/>
          <w:sz w:val="30"/>
          <w:szCs w:val="30"/>
        </w:rPr>
        <w:t xml:space="preserve"> </w:t>
      </w:r>
      <w:r w:rsidRPr="00700A3C">
        <w:rPr>
          <w:rFonts w:ascii="Arial" w:hAnsi="Arial" w:cs="Arial" w:hint="eastAsia"/>
          <w:kern w:val="0"/>
          <w:sz w:val="18"/>
          <w:szCs w:val="18"/>
        </w:rPr>
        <w:t>沪人社专〔</w:t>
      </w:r>
      <w:r w:rsidRPr="00700A3C">
        <w:rPr>
          <w:rFonts w:ascii="Arial" w:hAnsi="Arial" w:cs="Arial"/>
          <w:kern w:val="0"/>
          <w:sz w:val="18"/>
          <w:szCs w:val="18"/>
        </w:rPr>
        <w:t>2017</w:t>
      </w:r>
      <w:r w:rsidRPr="00700A3C">
        <w:rPr>
          <w:rFonts w:ascii="Arial" w:hAnsi="Arial" w:cs="Arial" w:hint="eastAsia"/>
          <w:kern w:val="0"/>
          <w:sz w:val="18"/>
          <w:szCs w:val="18"/>
        </w:rPr>
        <w:t>〕</w:t>
      </w:r>
      <w:r w:rsidRPr="00700A3C">
        <w:rPr>
          <w:rFonts w:ascii="Arial" w:hAnsi="Arial" w:cs="Arial"/>
          <w:kern w:val="0"/>
          <w:sz w:val="18"/>
          <w:szCs w:val="18"/>
        </w:rPr>
        <w:t>115</w:t>
      </w:r>
      <w:r w:rsidRPr="00700A3C">
        <w:rPr>
          <w:rFonts w:ascii="Arial" w:hAnsi="Arial" w:cs="Arial" w:hint="eastAsia"/>
          <w:kern w:val="0"/>
          <w:sz w:val="18"/>
          <w:szCs w:val="18"/>
        </w:rPr>
        <w:t>号</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各委、办、局（集团公司），各区人力资源和社会保障局，各有关单位：</w:t>
      </w:r>
    </w:p>
    <w:p w:rsidR="007A28DA" w:rsidRPr="00700A3C" w:rsidRDefault="007A28DA" w:rsidP="00503822">
      <w:pPr>
        <w:widowControl/>
        <w:spacing w:before="100" w:beforeAutospacing="1" w:after="100" w:afterAutospacing="1" w:line="360" w:lineRule="atLeast"/>
        <w:ind w:firstLineChars="200" w:firstLine="31680"/>
        <w:jc w:val="left"/>
        <w:rPr>
          <w:rFonts w:ascii="Arial" w:hAnsi="Arial" w:cs="Arial"/>
          <w:kern w:val="0"/>
          <w:szCs w:val="21"/>
        </w:rPr>
      </w:pPr>
      <w:r w:rsidRPr="00700A3C">
        <w:rPr>
          <w:rFonts w:ascii="Arial" w:hAnsi="Arial" w:cs="Arial" w:hint="eastAsia"/>
          <w:kern w:val="0"/>
          <w:szCs w:val="21"/>
        </w:rPr>
        <w:t>为贯彻落实《关于深化职称制度改革的意见》（中办发</w:t>
      </w:r>
      <w:r w:rsidRPr="00700A3C">
        <w:rPr>
          <w:rFonts w:ascii="Arial" w:hAnsi="Arial" w:cs="Arial"/>
          <w:kern w:val="0"/>
          <w:szCs w:val="21"/>
        </w:rPr>
        <w:t>[2016]77</w:t>
      </w:r>
      <w:r w:rsidRPr="00700A3C">
        <w:rPr>
          <w:rFonts w:ascii="Arial" w:hAnsi="Arial" w:cs="Arial" w:hint="eastAsia"/>
          <w:kern w:val="0"/>
          <w:szCs w:val="21"/>
        </w:rPr>
        <w:t>号）文件精神，深入推进本市职称制度改革，发挥好人才评价</w:t>
      </w:r>
      <w:r w:rsidRPr="00700A3C">
        <w:rPr>
          <w:rFonts w:ascii="Arial" w:hAnsi="Arial" w:cs="Arial"/>
          <w:kern w:val="0"/>
          <w:szCs w:val="21"/>
        </w:rPr>
        <w:t>“</w:t>
      </w:r>
      <w:r w:rsidRPr="00700A3C">
        <w:rPr>
          <w:rFonts w:ascii="Arial" w:hAnsi="Arial" w:cs="Arial" w:hint="eastAsia"/>
          <w:kern w:val="0"/>
          <w:szCs w:val="21"/>
        </w:rPr>
        <w:t>指挥棒</w:t>
      </w:r>
      <w:r w:rsidRPr="00700A3C">
        <w:rPr>
          <w:rFonts w:ascii="Arial" w:hAnsi="Arial" w:cs="Arial"/>
          <w:kern w:val="0"/>
          <w:szCs w:val="21"/>
        </w:rPr>
        <w:t>”</w:t>
      </w:r>
      <w:r w:rsidRPr="00700A3C">
        <w:rPr>
          <w:rFonts w:ascii="Arial" w:hAnsi="Arial" w:cs="Arial" w:hint="eastAsia"/>
          <w:kern w:val="0"/>
          <w:szCs w:val="21"/>
        </w:rPr>
        <w:t>作用，完善职称评价标准，现就进一步规范职称评聘申报条件的有关工作通知如下。</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hint="eastAsia"/>
          <w:b/>
          <w:bCs/>
          <w:kern w:val="0"/>
        </w:rPr>
        <w:t>一、职称申报条件确定</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职称申报条件是指申报职称资格评审、专业技术类资格考试、有关专业技术职务聘任时需具备的条件，主要包括基本条件、岗位条件、学历学位、专业技术工作经历、专业技术继续教育、论文（专业技术工作总结）、专业技术业绩、获奖专利以及其它相关条件组成。</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本市职称申报条件在上海市人力资源和社会保障局、本市各系列（行业、专业）主管部门指导下，由职称评审机构、专业技术类考试机构、用人单位根据职称评聘标准制定，一般通过职称评审通知、职称考试通知、专业技术职务聘任通知等文件发布。</w:t>
      </w:r>
    </w:p>
    <w:p w:rsidR="007A28DA" w:rsidRDefault="007A28DA" w:rsidP="00503822">
      <w:pPr>
        <w:widowControl/>
        <w:spacing w:before="100" w:beforeAutospacing="1" w:after="100" w:afterAutospacing="1" w:line="360" w:lineRule="atLeast"/>
        <w:jc w:val="center"/>
        <w:rPr>
          <w:rFonts w:ascii="Arial" w:hAnsi="Arial" w:cs="Arial"/>
          <w:kern w:val="0"/>
          <w:sz w:val="18"/>
          <w:szCs w:val="18"/>
        </w:rPr>
      </w:pPr>
      <w:r w:rsidRPr="00700A3C">
        <w:rPr>
          <w:rFonts w:ascii="Arial" w:hAnsi="Arial" w:cs="Arial" w:hint="eastAsia"/>
          <w:kern w:val="0"/>
          <w:szCs w:val="21"/>
        </w:rPr>
        <w:t xml:space="preserve">　　本市申报职称评审、考试和聘任有关专业技术职务，申报人需具备相应的职称申报条件。</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hint="eastAsia"/>
          <w:b/>
          <w:bCs/>
          <w:kern w:val="0"/>
        </w:rPr>
        <w:t>二、职称申报条件主要内容</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（一）基本条件</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拥护中国共产党领导，遵守宪法和国家法律、法规，恪守职业道德，具有良好的职业操守和从业行为。</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（二）岗位条件</w:t>
      </w:r>
    </w:p>
    <w:p w:rsidR="007A28DA" w:rsidRDefault="007A28DA" w:rsidP="00503822">
      <w:pPr>
        <w:widowControl/>
        <w:spacing w:before="100" w:beforeAutospacing="1" w:after="100" w:afterAutospacing="1" w:line="360" w:lineRule="atLeast"/>
        <w:rPr>
          <w:rFonts w:ascii="Arial" w:hAnsi="Arial" w:cs="Arial"/>
          <w:kern w:val="0"/>
          <w:sz w:val="18"/>
          <w:szCs w:val="18"/>
        </w:rPr>
      </w:pPr>
      <w:r w:rsidRPr="00700A3C">
        <w:rPr>
          <w:rFonts w:ascii="Arial" w:hAnsi="Arial" w:cs="Arial" w:hint="eastAsia"/>
          <w:kern w:val="0"/>
          <w:szCs w:val="21"/>
        </w:rPr>
        <w:t xml:space="preserve">　　具有本市户籍，或者办理了《上海市居住证》</w:t>
      </w:r>
      <w:r w:rsidRPr="00700A3C">
        <w:rPr>
          <w:rFonts w:ascii="Arial" w:hAnsi="Arial" w:cs="Arial"/>
          <w:kern w:val="0"/>
          <w:szCs w:val="21"/>
        </w:rPr>
        <w:t>1</w:t>
      </w:r>
      <w:r w:rsidRPr="00700A3C">
        <w:rPr>
          <w:rFonts w:ascii="Arial" w:hAnsi="Arial" w:cs="Arial" w:hint="eastAsia"/>
          <w:kern w:val="0"/>
          <w:szCs w:val="21"/>
        </w:rPr>
        <w:t>年以上并在有效期内，在本市企事业单位和社会组织相应专业技术岗位上工作的在职专业技术人员。已办理退休手续或当年度达到退休年龄的，不予受理（按国家规定办理延长退休手续的除外）</w:t>
      </w:r>
      <w:r>
        <w:rPr>
          <w:rFonts w:ascii="Arial" w:hAnsi="Arial" w:cs="Arial" w:hint="eastAsia"/>
          <w:kern w:val="0"/>
          <w:szCs w:val="21"/>
        </w:rPr>
        <w:t>。</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三）学历学位</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学历学位按照国家教育部或国务院学位办颁布的标准执行，填写需适当区分。</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kern w:val="0"/>
          <w:szCs w:val="21"/>
        </w:rPr>
        <w:t>1.</w:t>
      </w:r>
      <w:r w:rsidRPr="00700A3C">
        <w:rPr>
          <w:rFonts w:ascii="Arial" w:hAnsi="Arial" w:cs="Arial" w:hint="eastAsia"/>
          <w:kern w:val="0"/>
          <w:szCs w:val="21"/>
        </w:rPr>
        <w:t>学历。学历分为全日制教育、在职教育（含电视（开放）大学、函授教育、自学考试教育等）。职称申报时应分类填写，如全日制专科、全日制本科、全日制研究生，在职专科、在职本科、在职研究生等。</w:t>
      </w:r>
    </w:p>
    <w:p w:rsidR="007A28DA" w:rsidRDefault="007A28DA" w:rsidP="00503822">
      <w:pPr>
        <w:widowControl/>
        <w:spacing w:before="100" w:beforeAutospacing="1" w:after="100" w:afterAutospacing="1" w:line="360" w:lineRule="atLeas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kern w:val="0"/>
          <w:szCs w:val="21"/>
        </w:rPr>
        <w:t>2.</w:t>
      </w:r>
      <w:r w:rsidRPr="00700A3C">
        <w:rPr>
          <w:rFonts w:ascii="Arial" w:hAnsi="Arial" w:cs="Arial" w:hint="eastAsia"/>
          <w:kern w:val="0"/>
          <w:szCs w:val="21"/>
        </w:rPr>
        <w:t>学位。学位填写按学位证书执行，其中，硕士学位分为学术学位、专业学位，职称申报时应分类填写。按招生学科门类为哲学、经济学、法学、教育学、文学、历史学、理学、工学、农学、医学、军事学、管理学、艺术学</w:t>
      </w:r>
      <w:r w:rsidRPr="00700A3C">
        <w:rPr>
          <w:rFonts w:ascii="Arial" w:hAnsi="Arial" w:cs="Arial"/>
          <w:kern w:val="0"/>
          <w:szCs w:val="21"/>
        </w:rPr>
        <w:t>13</w:t>
      </w:r>
      <w:r w:rsidRPr="00700A3C">
        <w:rPr>
          <w:rFonts w:ascii="Arial" w:hAnsi="Arial" w:cs="Arial" w:hint="eastAsia"/>
          <w:kern w:val="0"/>
          <w:szCs w:val="21"/>
        </w:rPr>
        <w:t>大类的为学术学位；其他如工商管理硕士（</w:t>
      </w:r>
      <w:r w:rsidRPr="00700A3C">
        <w:rPr>
          <w:rFonts w:ascii="Arial" w:hAnsi="Arial" w:cs="Arial"/>
          <w:kern w:val="0"/>
          <w:szCs w:val="21"/>
        </w:rPr>
        <w:t>MBA</w:t>
      </w:r>
      <w:r w:rsidRPr="00700A3C">
        <w:rPr>
          <w:rFonts w:ascii="Arial" w:hAnsi="Arial" w:cs="Arial" w:hint="eastAsia"/>
          <w:kern w:val="0"/>
          <w:szCs w:val="21"/>
        </w:rPr>
        <w:t>）、公共管理专业硕士（</w:t>
      </w:r>
      <w:r w:rsidRPr="00700A3C">
        <w:rPr>
          <w:rFonts w:ascii="Arial" w:hAnsi="Arial" w:cs="Arial"/>
          <w:kern w:val="0"/>
          <w:szCs w:val="21"/>
        </w:rPr>
        <w:t>MPA</w:t>
      </w:r>
      <w:r w:rsidRPr="00700A3C">
        <w:rPr>
          <w:rFonts w:ascii="Arial" w:hAnsi="Arial" w:cs="Arial" w:hint="eastAsia"/>
          <w:kern w:val="0"/>
          <w:szCs w:val="21"/>
        </w:rPr>
        <w:t>）、工程硕士等为专业学位。</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（四）专业技术工作经历</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专业技术工作经历是指取得职称资格（或者符合规定的聘任条件）后的聘任时间。</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kern w:val="0"/>
          <w:szCs w:val="21"/>
        </w:rPr>
        <w:t>1.</w:t>
      </w:r>
      <w:r w:rsidRPr="00700A3C">
        <w:rPr>
          <w:rFonts w:ascii="Arial" w:hAnsi="Arial" w:cs="Arial" w:hint="eastAsia"/>
          <w:kern w:val="0"/>
          <w:szCs w:val="21"/>
        </w:rPr>
        <w:t>截止时间。申报职称时专业技术工作经历截止时间计算一般为：上半年申报的，计算时间截止到当年</w:t>
      </w:r>
      <w:r w:rsidRPr="00700A3C">
        <w:rPr>
          <w:rFonts w:ascii="Arial" w:hAnsi="Arial" w:cs="Arial"/>
          <w:kern w:val="0"/>
          <w:szCs w:val="21"/>
        </w:rPr>
        <w:t>6</w:t>
      </w:r>
      <w:r w:rsidRPr="00700A3C">
        <w:rPr>
          <w:rFonts w:ascii="Arial" w:hAnsi="Arial" w:cs="Arial" w:hint="eastAsia"/>
          <w:kern w:val="0"/>
          <w:szCs w:val="21"/>
        </w:rPr>
        <w:t>月</w:t>
      </w:r>
      <w:r w:rsidRPr="00700A3C">
        <w:rPr>
          <w:rFonts w:ascii="Arial" w:hAnsi="Arial" w:cs="Arial"/>
          <w:kern w:val="0"/>
          <w:szCs w:val="21"/>
        </w:rPr>
        <w:t>30</w:t>
      </w:r>
      <w:r w:rsidRPr="00700A3C">
        <w:rPr>
          <w:rFonts w:ascii="Arial" w:hAnsi="Arial" w:cs="Arial" w:hint="eastAsia"/>
          <w:kern w:val="0"/>
          <w:szCs w:val="21"/>
        </w:rPr>
        <w:t>日；下半年申报的，计算时间截止到当年</w:t>
      </w:r>
      <w:r w:rsidRPr="00700A3C">
        <w:rPr>
          <w:rFonts w:ascii="Arial" w:hAnsi="Arial" w:cs="Arial"/>
          <w:kern w:val="0"/>
          <w:szCs w:val="21"/>
        </w:rPr>
        <w:t>12</w:t>
      </w:r>
      <w:r w:rsidRPr="00700A3C">
        <w:rPr>
          <w:rFonts w:ascii="Arial" w:hAnsi="Arial" w:cs="Arial" w:hint="eastAsia"/>
          <w:kern w:val="0"/>
          <w:szCs w:val="21"/>
        </w:rPr>
        <w:t>月</w:t>
      </w:r>
      <w:r w:rsidRPr="00700A3C">
        <w:rPr>
          <w:rFonts w:ascii="Arial" w:hAnsi="Arial" w:cs="Arial"/>
          <w:kern w:val="0"/>
          <w:szCs w:val="21"/>
        </w:rPr>
        <w:t>31</w:t>
      </w:r>
      <w:r w:rsidRPr="00700A3C">
        <w:rPr>
          <w:rFonts w:ascii="Arial" w:hAnsi="Arial" w:cs="Arial" w:hint="eastAsia"/>
          <w:kern w:val="0"/>
          <w:szCs w:val="21"/>
        </w:rPr>
        <w:t>日。</w:t>
      </w:r>
    </w:p>
    <w:p w:rsidR="007A28DA" w:rsidRDefault="007A28DA" w:rsidP="00503822">
      <w:pPr>
        <w:ind w:firstLine="420"/>
        <w:rPr>
          <w:rFonts w:ascii="Arial" w:hAnsi="Arial" w:cs="Arial"/>
          <w:kern w:val="0"/>
          <w:szCs w:val="21"/>
        </w:rPr>
      </w:pPr>
      <w:r w:rsidRPr="00700A3C">
        <w:rPr>
          <w:rFonts w:ascii="Arial" w:hAnsi="Arial" w:cs="Arial"/>
          <w:kern w:val="0"/>
          <w:szCs w:val="21"/>
        </w:rPr>
        <w:t>2.</w:t>
      </w:r>
      <w:r w:rsidRPr="00700A3C">
        <w:rPr>
          <w:rFonts w:ascii="Arial" w:hAnsi="Arial" w:cs="Arial" w:hint="eastAsia"/>
          <w:kern w:val="0"/>
          <w:szCs w:val="21"/>
        </w:rPr>
        <w:t>计算办法。非就业状态、在行政管理或工勤等岗位工作的经历不能作为专业技术工作经历。在计算时，因专业技术岗位变动、待岗待聘、长病假、参加全日制教育等不在本专业技术岗位工作的时间需相应扣除。</w:t>
      </w:r>
    </w:p>
    <w:p w:rsidR="007A28DA" w:rsidRDefault="007A28DA" w:rsidP="00503822">
      <w:pPr>
        <w:ind w:firstLine="420"/>
        <w:rPr>
          <w:rFonts w:ascii="Arial" w:hAnsi="Arial" w:cs="Arial"/>
          <w:kern w:val="0"/>
          <w:szCs w:val="21"/>
        </w:rPr>
      </w:pP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（五）继续教育</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根据《专业技术人员继续教育规定》（人力资源和社会保障部</w:t>
      </w:r>
      <w:r w:rsidRPr="00700A3C">
        <w:rPr>
          <w:rFonts w:ascii="Arial" w:hAnsi="Arial" w:cs="Arial"/>
          <w:kern w:val="0"/>
          <w:szCs w:val="21"/>
        </w:rPr>
        <w:t>25</w:t>
      </w:r>
      <w:r w:rsidRPr="00700A3C">
        <w:rPr>
          <w:rFonts w:ascii="Arial" w:hAnsi="Arial" w:cs="Arial" w:hint="eastAsia"/>
          <w:kern w:val="0"/>
          <w:szCs w:val="21"/>
        </w:rPr>
        <w:t>号令），申报人员应符合以知识更新为主的继续教育规定科目的培训学时。继续教育的科目和学时计算办法，按有关规定执行。</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（六）论文（含技术工作总结等）</w:t>
      </w:r>
    </w:p>
    <w:p w:rsidR="007A28DA" w:rsidRDefault="007A28DA" w:rsidP="00503822">
      <w:pPr>
        <w:widowControl/>
        <w:spacing w:before="100" w:beforeAutospacing="1" w:after="100" w:afterAutospacing="1" w:line="360" w:lineRule="atLeast"/>
        <w:ind w:firstLine="420"/>
        <w:jc w:val="left"/>
        <w:rPr>
          <w:rFonts w:ascii="Arial" w:hAnsi="Arial" w:cs="Arial"/>
          <w:kern w:val="0"/>
          <w:szCs w:val="21"/>
        </w:rPr>
      </w:pPr>
      <w:r w:rsidRPr="00700A3C">
        <w:rPr>
          <w:rFonts w:ascii="Arial" w:hAnsi="Arial" w:cs="Arial" w:hint="eastAsia"/>
          <w:kern w:val="0"/>
          <w:szCs w:val="21"/>
        </w:rPr>
        <w:t>公开发行的论文一般应发表于省市级及以上专业学术期刊上。提交时须注明期刊的国内统一刊号（</w:t>
      </w:r>
      <w:r w:rsidRPr="00700A3C">
        <w:rPr>
          <w:rFonts w:ascii="Arial" w:hAnsi="Arial" w:cs="Arial"/>
          <w:kern w:val="0"/>
          <w:szCs w:val="21"/>
        </w:rPr>
        <w:t>CN</w:t>
      </w:r>
      <w:r w:rsidRPr="00700A3C">
        <w:rPr>
          <w:rFonts w:ascii="Arial" w:hAnsi="Arial" w:cs="Arial" w:hint="eastAsia"/>
          <w:kern w:val="0"/>
          <w:szCs w:val="21"/>
        </w:rPr>
        <w:t>号）、国际刊号（</w:t>
      </w:r>
      <w:r w:rsidRPr="00700A3C">
        <w:rPr>
          <w:rFonts w:ascii="Arial" w:hAnsi="Arial" w:cs="Arial"/>
          <w:kern w:val="0"/>
          <w:szCs w:val="21"/>
        </w:rPr>
        <w:t>ISSN</w:t>
      </w:r>
      <w:r w:rsidRPr="00700A3C">
        <w:rPr>
          <w:rFonts w:ascii="Arial" w:hAnsi="Arial" w:cs="Arial" w:hint="eastAsia"/>
          <w:kern w:val="0"/>
          <w:szCs w:val="21"/>
        </w:rPr>
        <w:t>号）、时间、作者排名、字数等（在报纸上发表的专业学术文章参照执行）。在行业内部刊物发表的论文，一般应为独立撰写。网络刊物发表的论文，应注明刊号、时间，明确作者身份。对部分系列（专业）未发表的论文，提交时应说明本人和他人的成果和贡献。</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对实践性、操作性强、研究属性不明显的应用型人才的评价可以项目报告、技术总结、工程方案、设计文件、教案、病历等作为论文的替代，重点考察研究成果和创作作品质量。推行代表作制度，提交的代表作应为任现职以来，在本专业技术岗位上取得的具有代表性的突出成果或作品，须明确个人排名及贡献，并经单位核实。</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职称申报论文材料经查实存在学术造假行为，实行</w:t>
      </w:r>
      <w:r w:rsidRPr="00700A3C">
        <w:rPr>
          <w:rFonts w:ascii="Arial" w:hAnsi="Arial" w:cs="Arial"/>
          <w:kern w:val="0"/>
          <w:szCs w:val="21"/>
        </w:rPr>
        <w:t>“</w:t>
      </w:r>
      <w:r w:rsidRPr="00700A3C">
        <w:rPr>
          <w:rFonts w:ascii="Arial" w:hAnsi="Arial" w:cs="Arial" w:hint="eastAsia"/>
          <w:kern w:val="0"/>
          <w:szCs w:val="21"/>
        </w:rPr>
        <w:t>一票否决制</w:t>
      </w:r>
      <w:r w:rsidRPr="00700A3C">
        <w:rPr>
          <w:rFonts w:ascii="Arial" w:hAnsi="Arial" w:cs="Arial"/>
          <w:kern w:val="0"/>
          <w:szCs w:val="21"/>
        </w:rPr>
        <w:t>”</w:t>
      </w:r>
      <w:r w:rsidRPr="00700A3C">
        <w:rPr>
          <w:rFonts w:ascii="Arial" w:hAnsi="Arial" w:cs="Arial" w:hint="eastAsia"/>
          <w:kern w:val="0"/>
          <w:szCs w:val="21"/>
        </w:rPr>
        <w:t>，不予进入评审程序。</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（七）专业技术业绩</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根据各系列（专业）需要，评审机构可以制定相应的业绩考核要求作为职称申报条件。如临床卫生专业将临床工作量和质量考核作为申报条件；中小学教师将授课学时数作为申报条件；高新技术成果转化类工程师将高新技术成果数量作为申报条件等。</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（八）获奖和专利</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用于申报专业技术职称评聘的获奖项目一般应为省市（部）级以上政府认定的专业奖项，或行业内公认的权威奖项。集体奖项应说明个人在其中的作用和贡献。</w:t>
      </w:r>
    </w:p>
    <w:p w:rsidR="007A28DA" w:rsidRDefault="007A28DA" w:rsidP="00503822">
      <w:pPr>
        <w:widowControl/>
        <w:spacing w:before="100" w:beforeAutospacing="1" w:after="100" w:afterAutospacing="1" w:line="360" w:lineRule="atLeast"/>
        <w:ind w:firstLine="420"/>
        <w:jc w:val="left"/>
        <w:rPr>
          <w:rFonts w:ascii="Arial" w:hAnsi="Arial" w:cs="Arial"/>
          <w:kern w:val="0"/>
          <w:szCs w:val="21"/>
        </w:rPr>
      </w:pPr>
      <w:r w:rsidRPr="00700A3C">
        <w:rPr>
          <w:rFonts w:ascii="Arial" w:hAnsi="Arial" w:cs="Arial" w:hint="eastAsia"/>
          <w:kern w:val="0"/>
          <w:szCs w:val="21"/>
        </w:rPr>
        <w:t xml:space="preserve">　　用于申报专业技术职称评聘的专利项目，一般为发明专利，申报人为主要技术研发人员，并且该专利已取得较好的经济效益或社会效益</w:t>
      </w:r>
      <w:r>
        <w:rPr>
          <w:rFonts w:ascii="Arial" w:hAnsi="Arial" w:cs="Arial" w:hint="eastAsia"/>
          <w:kern w:val="0"/>
          <w:szCs w:val="21"/>
        </w:rPr>
        <w:t>。</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（九）其他</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经上海市人力资源和社会保障局、本市各系列（行业、专业）主管部门同意，评审机构可以根据需要，制定其它必须的条件作为申报条件。用人单位可结合本单位需要，制定与岗位聘任相关的条件作为聘任条件。</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w:t>
      </w:r>
      <w:r w:rsidRPr="00700A3C">
        <w:rPr>
          <w:rFonts w:ascii="Arial" w:hAnsi="Arial" w:cs="Arial" w:hint="eastAsia"/>
          <w:b/>
          <w:bCs/>
          <w:kern w:val="0"/>
        </w:rPr>
        <w:t>三、申报人员所在单位的要求</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（一）所在单位推荐意见</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进一步发挥用人主体在职称评审中的作用。提高用人单位对申报人员业绩考评、绩效考核在职称评价中的权重。用人单位应认真填写推荐意见，对申报人的业绩水平和工作绩效做出全面、客观的评价，以供专家评审时参考。单位应对申报人提供材料的真实性承担核实的责任，对其学历学位、专业技术工作资历、论文论著、奖项、科研项目等情况逐一核实并盖章；未经核实的内容在评审时不予考虑。引导用人单位结合用人需求，合理确定评价与聘用的衔接关系，评以适用，以用促评。</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（二）事业单位缺额证明</w:t>
      </w:r>
    </w:p>
    <w:p w:rsidR="007A28DA" w:rsidRPr="00700A3C" w:rsidRDefault="007A28DA" w:rsidP="00503822">
      <w:pPr>
        <w:widowControl/>
        <w:spacing w:before="100" w:beforeAutospacing="1" w:after="100" w:afterAutospacing="1" w:line="360" w:lineRule="atLeast"/>
        <w:jc w:val="left"/>
        <w:rPr>
          <w:rFonts w:ascii="Arial" w:hAnsi="Arial" w:cs="Arial"/>
          <w:kern w:val="0"/>
          <w:szCs w:val="21"/>
        </w:rPr>
      </w:pPr>
      <w:r w:rsidRPr="00700A3C">
        <w:rPr>
          <w:rFonts w:ascii="Arial" w:hAnsi="Arial" w:cs="Arial" w:hint="eastAsia"/>
          <w:kern w:val="0"/>
          <w:szCs w:val="21"/>
        </w:rPr>
        <w:t xml:space="preserve">　　对于全面实行岗位管理、专业技术人才学术技术水平与岗位职责密切相关的事业单位，一般应在岗位结构比例内开展职称评审。本市事业单位应根据本单位专业技术岗位设置情况，在岗位空缺的前提下，推荐本单位专业技术人员申报职务任职资格。在高、中级专业技术职务任职资格评定申报表填写单位核实意见时，应明确本单位是否有相应等级专业技术岗位空额。</w:t>
      </w:r>
    </w:p>
    <w:p w:rsidR="007A28DA" w:rsidRPr="00D24B31" w:rsidRDefault="007A28DA" w:rsidP="00D24B31">
      <w:pPr>
        <w:widowControl/>
        <w:spacing w:before="100" w:beforeAutospacing="1" w:after="100" w:afterAutospacing="1" w:line="360" w:lineRule="atLeast"/>
        <w:ind w:leftChars="1750" w:left="31680" w:hangingChars="500" w:firstLine="31680"/>
        <w:jc w:val="left"/>
        <w:rPr>
          <w:rFonts w:ascii="Arial" w:hAnsi="Arial" w:cs="Arial"/>
          <w:kern w:val="0"/>
          <w:sz w:val="28"/>
          <w:szCs w:val="28"/>
        </w:rPr>
      </w:pPr>
      <w:r w:rsidRPr="00D24B31">
        <w:rPr>
          <w:rFonts w:ascii="Arial" w:hAnsi="Arial" w:cs="Arial" w:hint="eastAsia"/>
          <w:kern w:val="0"/>
          <w:sz w:val="28"/>
          <w:szCs w:val="28"/>
        </w:rPr>
        <w:t>上海市人力资源和社会保障局</w:t>
      </w:r>
      <w:r w:rsidRPr="00700A3C">
        <w:rPr>
          <w:rFonts w:ascii="Arial" w:hAnsi="Arial" w:cs="Arial"/>
          <w:kern w:val="0"/>
          <w:szCs w:val="21"/>
        </w:rPr>
        <w:br/>
      </w:r>
      <w:r w:rsidRPr="00D24B31">
        <w:rPr>
          <w:rFonts w:ascii="Arial" w:hAnsi="Arial" w:cs="Arial"/>
          <w:kern w:val="0"/>
          <w:sz w:val="28"/>
          <w:szCs w:val="28"/>
        </w:rPr>
        <w:t>2017</w:t>
      </w:r>
      <w:r w:rsidRPr="00D24B31">
        <w:rPr>
          <w:rFonts w:ascii="Arial" w:hAnsi="Arial" w:cs="Arial" w:hint="eastAsia"/>
          <w:kern w:val="0"/>
          <w:sz w:val="28"/>
          <w:szCs w:val="28"/>
        </w:rPr>
        <w:t>年</w:t>
      </w:r>
      <w:r w:rsidRPr="00D24B31">
        <w:rPr>
          <w:rFonts w:ascii="Arial" w:hAnsi="Arial" w:cs="Arial"/>
          <w:kern w:val="0"/>
          <w:sz w:val="28"/>
          <w:szCs w:val="28"/>
        </w:rPr>
        <w:t>4</w:t>
      </w:r>
      <w:r w:rsidRPr="00D24B31">
        <w:rPr>
          <w:rFonts w:ascii="Arial" w:hAnsi="Arial" w:cs="Arial" w:hint="eastAsia"/>
          <w:kern w:val="0"/>
          <w:sz w:val="28"/>
          <w:szCs w:val="28"/>
        </w:rPr>
        <w:t>月</w:t>
      </w:r>
      <w:r w:rsidRPr="00D24B31">
        <w:rPr>
          <w:rFonts w:ascii="Arial" w:hAnsi="Arial" w:cs="Arial"/>
          <w:kern w:val="0"/>
          <w:sz w:val="28"/>
          <w:szCs w:val="28"/>
        </w:rPr>
        <w:t>5</w:t>
      </w:r>
      <w:r w:rsidRPr="00D24B31">
        <w:rPr>
          <w:rFonts w:ascii="Arial" w:hAnsi="Arial" w:cs="Arial" w:hint="eastAsia"/>
          <w:kern w:val="0"/>
          <w:sz w:val="28"/>
          <w:szCs w:val="28"/>
        </w:rPr>
        <w:t>日</w:t>
      </w:r>
    </w:p>
    <w:sectPr w:rsidR="007A28DA" w:rsidRPr="00D24B31" w:rsidSect="003B42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A3C"/>
    <w:rsid w:val="00345BD3"/>
    <w:rsid w:val="003B42D8"/>
    <w:rsid w:val="00503822"/>
    <w:rsid w:val="00700A3C"/>
    <w:rsid w:val="007A28DA"/>
    <w:rsid w:val="009808D1"/>
    <w:rsid w:val="0099525D"/>
    <w:rsid w:val="00C55BE4"/>
    <w:rsid w:val="00D24B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D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00A3C"/>
    <w:rPr>
      <w:rFonts w:cs="Times New Roman"/>
      <w:color w:val="000000"/>
      <w:u w:val="none"/>
      <w:effect w:val="none"/>
    </w:rPr>
  </w:style>
  <w:style w:type="paragraph" w:styleId="NormalWeb">
    <w:name w:val="Normal (Web)"/>
    <w:basedOn w:val="Normal"/>
    <w:uiPriority w:val="99"/>
    <w:semiHidden/>
    <w:rsid w:val="00700A3C"/>
    <w:pPr>
      <w:widowControl/>
      <w:spacing w:before="100" w:beforeAutospacing="1" w:after="100" w:afterAutospacing="1"/>
      <w:jc w:val="left"/>
    </w:pPr>
    <w:rPr>
      <w:rFonts w:ascii="宋体" w:hAnsi="宋体" w:cs="宋体"/>
      <w:kern w:val="0"/>
      <w:sz w:val="24"/>
      <w:szCs w:val="24"/>
    </w:rPr>
  </w:style>
  <w:style w:type="character" w:customStyle="1" w:styleId="style71">
    <w:name w:val="style71"/>
    <w:basedOn w:val="DefaultParagraphFont"/>
    <w:uiPriority w:val="99"/>
    <w:rsid w:val="00700A3C"/>
    <w:rPr>
      <w:rFonts w:ascii="宋体" w:eastAsia="宋体" w:hAnsi="宋体" w:cs="Times New Roman"/>
      <w:b/>
      <w:bCs/>
      <w:color w:val="21659A"/>
      <w:sz w:val="24"/>
      <w:szCs w:val="24"/>
    </w:rPr>
  </w:style>
  <w:style w:type="character" w:customStyle="1" w:styleId="style81">
    <w:name w:val="style81"/>
    <w:basedOn w:val="DefaultParagraphFont"/>
    <w:uiPriority w:val="99"/>
    <w:rsid w:val="00700A3C"/>
    <w:rPr>
      <w:rFonts w:cs="Times New Roman"/>
      <w:color w:val="656565"/>
    </w:rPr>
  </w:style>
  <w:style w:type="character" w:styleId="Strong">
    <w:name w:val="Strong"/>
    <w:basedOn w:val="DefaultParagraphFont"/>
    <w:uiPriority w:val="99"/>
    <w:qFormat/>
    <w:rsid w:val="00700A3C"/>
    <w:rPr>
      <w:rFonts w:cs="Times New Roman"/>
      <w:b/>
      <w:bCs/>
    </w:rPr>
  </w:style>
  <w:style w:type="paragraph" w:styleId="BalloonText">
    <w:name w:val="Balloon Text"/>
    <w:basedOn w:val="Normal"/>
    <w:link w:val="BalloonTextChar"/>
    <w:uiPriority w:val="99"/>
    <w:semiHidden/>
    <w:rsid w:val="00700A3C"/>
    <w:rPr>
      <w:sz w:val="18"/>
      <w:szCs w:val="18"/>
    </w:rPr>
  </w:style>
  <w:style w:type="character" w:customStyle="1" w:styleId="BalloonTextChar">
    <w:name w:val="Balloon Text Char"/>
    <w:basedOn w:val="DefaultParagraphFont"/>
    <w:link w:val="BalloonText"/>
    <w:uiPriority w:val="99"/>
    <w:semiHidden/>
    <w:locked/>
    <w:rsid w:val="00700A3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14327167">
      <w:marLeft w:val="0"/>
      <w:marRight w:val="0"/>
      <w:marTop w:val="0"/>
      <w:marBottom w:val="0"/>
      <w:divBdr>
        <w:top w:val="none" w:sz="0" w:space="0" w:color="auto"/>
        <w:left w:val="none" w:sz="0" w:space="0" w:color="auto"/>
        <w:bottom w:val="none" w:sz="0" w:space="0" w:color="auto"/>
        <w:right w:val="none" w:sz="0" w:space="0" w:color="auto"/>
      </w:divBdr>
      <w:divsChild>
        <w:div w:id="114327166">
          <w:marLeft w:val="0"/>
          <w:marRight w:val="0"/>
          <w:marTop w:val="0"/>
          <w:marBottom w:val="0"/>
          <w:divBdr>
            <w:top w:val="none" w:sz="0" w:space="0" w:color="auto"/>
            <w:left w:val="none" w:sz="0" w:space="0" w:color="auto"/>
            <w:bottom w:val="none" w:sz="0" w:space="0" w:color="auto"/>
            <w:right w:val="none" w:sz="0" w:space="0" w:color="auto"/>
          </w:divBdr>
        </w:div>
        <w:div w:id="11432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369</Words>
  <Characters>2105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雨林木风</cp:lastModifiedBy>
  <cp:revision>4</cp:revision>
  <dcterms:created xsi:type="dcterms:W3CDTF">2017-04-13T05:36:00Z</dcterms:created>
  <dcterms:modified xsi:type="dcterms:W3CDTF">2017-07-06T05:24:00Z</dcterms:modified>
</cp:coreProperties>
</file>