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36" w:rsidRDefault="00AA4236" w:rsidP="00AA423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A4236" w:rsidRDefault="00AA4236" w:rsidP="00AA4236">
      <w:pPr>
        <w:spacing w:line="500" w:lineRule="exact"/>
        <w:jc w:val="center"/>
        <w:rPr>
          <w:rFonts w:ascii="黑体" w:eastAsia="黑体" w:hAnsi="黑体"/>
          <w:sz w:val="38"/>
          <w:szCs w:val="38"/>
        </w:rPr>
      </w:pPr>
    </w:p>
    <w:p w:rsidR="00AA4236" w:rsidRDefault="00AA4236" w:rsidP="00AA423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高校智库内涵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建设计划实施方案</w:t>
      </w:r>
    </w:p>
    <w:bookmarkEnd w:id="0"/>
    <w:p w:rsidR="00AA4236" w:rsidRDefault="00AA4236" w:rsidP="00AA423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（2018年）</w:t>
      </w:r>
    </w:p>
    <w:p w:rsidR="00AA4236" w:rsidRDefault="00AA4236" w:rsidP="00AA4236">
      <w:pPr>
        <w:spacing w:line="500" w:lineRule="exact"/>
        <w:rPr>
          <w:rFonts w:ascii="黑体" w:eastAsia="仿宋_GB2312" w:hAnsi="黑体"/>
          <w:sz w:val="38"/>
          <w:szCs w:val="38"/>
        </w:rPr>
      </w:pP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为了贯彻落实中央《关于加强中国特色新型智库建设的意见》和教育部《中国特色新型高校智库建设推进计划》《关于实施高等学校创新能力提升计划的意见》的相关精神，推动上海新型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建设与发展，进一步提升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内涵能力建设，提升核心竞争力，打造上海新型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高校智库品牌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，市教卫工作党委、市教委决定实施上海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内涵建设计划。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黑体" w:eastAsia="黑体" w:hAnsi="仿宋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一、指导思想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坚持以习近平新时代中国特色社会主义思想为指导，以重大理论和现实问题为主攻方向，坚持理论研究与应用研究并重，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聚焦党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的十九大对经济建设、政治建设、文化建设、社会建设、生态文明建设等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作出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的新部署，对党的建设提出的新要求，以及国际关系的重大问题，进行高层次的应用对策研究和战略咨询，增强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高校智库在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国家和上海发展中的贡献度。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二、建设原则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"/>
          <w:sz w:val="30"/>
          <w:szCs w:val="30"/>
        </w:rPr>
        <w:t>1</w:t>
      </w:r>
      <w:r>
        <w:rPr>
          <w:rFonts w:ascii="仿宋" w:eastAsia="仿宋_GB2312" w:hAnsi="仿宋" w:cs="仿宋_GB2312" w:hint="eastAsia"/>
          <w:sz w:val="30"/>
          <w:szCs w:val="30"/>
        </w:rPr>
        <w:t>.</w:t>
      </w:r>
      <w:r>
        <w:rPr>
          <w:rFonts w:ascii="仿宋" w:eastAsia="仿宋_GB2312" w:hAnsi="仿宋" w:cs="仿宋_GB2312" w:hint="eastAsia"/>
          <w:sz w:val="30"/>
          <w:szCs w:val="30"/>
        </w:rPr>
        <w:t>坚持党的领导，把握正确导向。坚持党管高校智库，坚持中国特色社会主义方向，遵守国家宪法法律法规，始终以国家利益为根本出发点。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cs="仿宋"/>
          <w:color w:val="000000"/>
          <w:sz w:val="30"/>
          <w:szCs w:val="30"/>
        </w:rPr>
        <w:t>2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坚持围绕大局，服务中心工作。紧紧围绕党和政府决策急需的重大课题，开展前瞻性、针对性、储备性政策研究，提出专业化、建设性、切实管用的政策建议，着力提高综合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判和战略谋划能力。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"/>
          <w:color w:val="000000"/>
          <w:sz w:val="30"/>
          <w:szCs w:val="30"/>
        </w:rPr>
        <w:t>3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坚持改革创新，加强规范管理。科学界定各项目的功能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lastRenderedPageBreak/>
        <w:t>定位，进一步调整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优化智库布局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，促进各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类智库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有序发展，不断完善高校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智库研究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资金管理制度。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三、建设目标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通过上海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高校智库内涵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建设计划，打造一批立足上海、服务全国、具有国际影响力的新型高校智库，使上海高校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智库成为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开展决策咨询的重要机构、探索高校科研改革的重要组成部分、培养决策咨询人才以及引领公共舆论和支撑公共外交的重要基地。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四、内涵建设计划任务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黑体" w:eastAsia="仿宋_GB2312" w:hAnsi="黑体" w:cs="仿宋_GB2312"/>
          <w:b/>
          <w:sz w:val="30"/>
          <w:szCs w:val="30"/>
        </w:rPr>
      </w:pPr>
      <w:r>
        <w:rPr>
          <w:rFonts w:ascii="黑体" w:eastAsia="仿宋_GB2312" w:hAnsi="黑体" w:cs="仿宋_GB2312" w:hint="eastAsia"/>
          <w:b/>
          <w:sz w:val="30"/>
          <w:szCs w:val="30"/>
        </w:rPr>
        <w:t>（一）战略研究项目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鼓励高校研究团队，围绕特定领域的全局性、战略性、前瞻性问题开展研究，及时向党和政府各相关部门，以及重要行业提供强有力的决策咨询服务，进一步扩大上海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高校智库的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决策咨询能力和影响力。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项目研究团队负责人须由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智库成员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担任，项目组成员可以包括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智库成员和非智库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成员，鼓励各方人员积极参与决策咨询研究。研究项目要明确研究特点、报送对象等。成果应包括决策咨询专报和研究报告等。每个项目组提交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5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份以上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决策咨询专报，同时积极承接与项目相关的约稿任务。研究报告如需公开出版，需征得市教卫工作党委、市教委同意。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每家机构限制报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2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项战略研究项目，单个战略研究项目的建设经费不超过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15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万元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/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>（具体以财评审定金额为准）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。已有其他资金立项资助的项目不得重复申报。</w:t>
      </w:r>
    </w:p>
    <w:p w:rsidR="00AA4236" w:rsidRDefault="00AA4236" w:rsidP="00AA4236">
      <w:pPr>
        <w:spacing w:line="500" w:lineRule="exact"/>
        <w:ind w:right="-62" w:firstLineChars="200" w:firstLine="602"/>
        <w:jc w:val="left"/>
        <w:rPr>
          <w:rFonts w:ascii="仿宋" w:eastAsia="仿宋_GB2312" w:hAnsi="仿宋" w:cs="仿宋_GB2312"/>
          <w:b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b/>
          <w:sz w:val="30"/>
          <w:szCs w:val="30"/>
        </w:rPr>
        <w:t>（二）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系列学术论坛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鼓励高校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智库结合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自身研究领域和专长，聚焦国家和上海面临的重大问题，精心策划和举办系列学术论坛，产生解决问题的新思想、新思路和新方案。由上海高校智库管理中心围绕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lastRenderedPageBreak/>
        <w:t>重大选题和重要时间节点举办大型论坛时，各机构应积极参与或者轮流承办。“系列学术论坛”在项目周期内需举办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3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次左右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，邀请领域内知名专家参与讨论，并形成综合性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判成果，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提交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3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份以上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决策咨询专报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申报系列论坛需有前期基础，至少举办过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1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次类似论坛。每家机构限申报</w:t>
      </w:r>
      <w:r>
        <w:rPr>
          <w:rFonts w:ascii="仿宋" w:eastAsia="仿宋_GB2312" w:hAnsi="仿宋" w:cs="仿宋_GB2312" w:hint="eastAsia"/>
          <w:b/>
          <w:bCs/>
          <w:color w:val="000000"/>
          <w:sz w:val="30"/>
          <w:szCs w:val="30"/>
        </w:rPr>
        <w:t>2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项，每项资助金额不超过</w:t>
      </w:r>
      <w:r>
        <w:rPr>
          <w:rFonts w:ascii="仿宋" w:eastAsia="仿宋_GB2312" w:hAnsi="仿宋" w:cs="仿宋_GB2312"/>
          <w:color w:val="000000"/>
          <w:sz w:val="30"/>
          <w:szCs w:val="30"/>
        </w:rPr>
        <w:t>20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 w:hint="eastAsia"/>
          <w:color w:val="000000"/>
          <w:sz w:val="30"/>
          <w:szCs w:val="30"/>
        </w:rPr>
        <w:t>（具体以财评审定金额为准）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以上受资助的所有专报和活动要标明“上海高校智库”的字样，相关材料需妥善保存，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在结项验收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时一并提交。在成果报送上，鼓励广辟渠道，多途径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报送智库成果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，特别是要及时主动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对接党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和政府的信息主渠道部门，用好市教卫工作党委直报点等内参通道，提升服务决策时效性。同时积极扩大各类活动的社会影响；与新闻媒体进行合作，积极对各类活动的动态和观点进行报道和宣传。</w:t>
      </w:r>
    </w:p>
    <w:p w:rsidR="00AA4236" w:rsidRDefault="00AA4236" w:rsidP="00AA4236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所有智库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项目的观点和数据公开发布应遵守相关制度规定，切实维护国家安全。</w:t>
      </w:r>
    </w:p>
    <w:p w:rsidR="00BE09D7" w:rsidRPr="00AA4236" w:rsidRDefault="00BE09D7" w:rsidP="00AA4236">
      <w:pPr>
        <w:widowControl/>
        <w:jc w:val="left"/>
        <w:rPr>
          <w:rFonts w:hint="eastAsia"/>
        </w:rPr>
      </w:pPr>
    </w:p>
    <w:sectPr w:rsidR="00BE09D7" w:rsidRPr="00AA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6"/>
    <w:rsid w:val="00AA4236"/>
    <w:rsid w:val="00B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FE0"/>
  <w15:chartTrackingRefBased/>
  <w15:docId w15:val="{5CB3360B-F168-4ED2-B87A-44A0748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2018-07-12T02:53:00Z</dcterms:created>
  <dcterms:modified xsi:type="dcterms:W3CDTF">2018-07-12T02:54:00Z</dcterms:modified>
</cp:coreProperties>
</file>